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ДОЛЖНИКА НА ЗАЯВЛЕНИЕ КРЕДИТОРА О ВКЛЮЧЕНИИ ТРЕБОВАНИЯ В РЕЕСТР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