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ПРОЦЕССУАЛЬНОМ ПРАВОПРЕЕМСТВЕ В РЕЕСТРЕ ТРЕБОВАНИЙ КРЕДИТОРОВ (ПОСЛЕ ВКЛЮЧЕНИЯ В РЕЕСТР)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уже включено в реестр, после чего право перешло к заявителю. Требуется замена кредитора без повторного установления долга.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Произвести процессуальную замену первоначального кредитора на [правопреемник].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Внести соответствующие изменения в реестр.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Сохранить очередность, состав и обеспеченность требования в подтверждённой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