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НЕОБОСНОВАННОГО ТРЕБОВАНИЯ БЫВШЕГО РАБОТНИКА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Прекращение трудового договора не прекращает право на начисленную заработную плату, выходное пособие и иные суммы, связанные с трудовыми отношениями.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установлении требования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Исключить неподтверждённые начисления и санкции.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расчёт, первичные документы и сведения о дате возникновения обязательства.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