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РАЗРЕШЕНИИ РАЗНОГЛАСИЙ ПО ОЧЕРЁДНОСТИ ТЕКУЩИХ ПЛАТЕЖЕЙ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возникла [до/после] возбуждения дела о банкротстве из [основание] и составляет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 требование учтено/не учтено как [текущее, реестровое, заработная плата, обязательный платёж] и отнесено к [очеред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едставляет расчёт, первичные документы и сведения о дате возникновения обязательства, необходимые для правильной квалификации и очерёд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, 16, 60, 134, 136, 142 и 129.1 Федерального закона № 127-ФЗ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ми являются обязательства, возникшие после принятия заявления о банкротстве, если законом не установлено иное. Их очерёдность определяется статьёй 134 Федерального закона № 127-ФЗ. Квалификация зависит от момента возникновения обязательства, а не от даты акта, счёта или судебного ре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е платежи и реестровые требования разграничиваются по моменту возникновения обязательства. Очерёдность текущих платежей обязательна для управляющего, а требования работников и уполномоченного органа устанавливаются с учётом специальных правил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Разрешить разногласия по очерёдности текущих платеже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нести требование заявителя к [очередь] текущих платеже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управляющего скорректировать платёжный календарь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латёжные поручения и банковские выпис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говор и перви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асчёт спорной сумм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