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ВЗЫСКАНИИ УБЫТКОВ С АРБИТРАЖНОГО УПРАВЛЯЮЩЕГО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Убытки выражаются в реальном уменьшении конкурсной массы [сумма] рублей и находятся в причинной связи с конкретным нарушением. В спор привлекаются СРО и страховщик.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взыскания убытков необходимо доказать противоправность поведения, наличие и размер убытков, причинную связь и вину с учётом профессионального стандарта деятельности управляющего.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взыскания убытков необходимо доказать противоправность поведения, наличие и размер убытков, причинную связь и вину с учётом профессионального стандарта деятельности управляющего.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Взыскать с арбитражного управляющего убытки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Взыскать проценты/судебные расходы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Направить судебный акт в СРО и страховщику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