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ОТЗЫВ АРБИТРАЖНОГО УПРАВЛЯЮЩЕГО НА ЖАЛОБУ КРЕДИТОРА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Арбитражным управляющим совершены действия/допущено бездействие: [описание, даты, обращения заявителя].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выразилось в [непринятии мер по активам, отказе от оспаривания, завышенных расходах, нарушении торгов, собрания или реестра].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Вследствие этого права заявителя нарушены: [снижение конкурсной массы, лишение права голоса, увеличение расходов, затягивание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20.3, 20.4, 60 и иными применимыми нормами Федерального закона № 127-ФЗ, статьями 15 и 1064 ГК РФ,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разумно. Жалоба должна указывать конкретное действие или бездействие, нарушенную обязанность, затронутое право и способ его восстановления. Для взыскания убытков дополнительно доказываются размер и причинная связь, для отстранения — существенность нарушения.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 в интересах должника, кредиторов и общества. Для удовлетворения жалобы необходимо показать конкретное нарушение, затронутое право и требуемый способ его восстановления.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удовлетворении жалобы кредитора.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действия управляющего соответствующими закону и утверждённому плану мероприятий.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Приобщить отчёт и подтверждающие документы.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копии обращений к управляющему и доказательства их получения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отчёты управляющего и документы о последствиях нарушения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