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ОТКАЗ УПРАВЛЯЮЩЕГО ОСПАРИВАТЬ ПОДОЗРИТЕЛЬНЫЕ СДЕЛКИ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Управляющему переданы договоры, выписки и анализ признаков недействительности; отказ дан без полной проверки, хотя потенциальное пополнение массы превышает расходы на спор.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арбитражного управляющего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устранить нарушение конкретным способом 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вопрос об отстранении и распределении судебных расходов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