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КРЕДИТОРА О ВЫБОРЕ СПОСОБА РАСПОРЯЖЕНИЯ ТРЕБОВАНИЕМ К КОНТРОЛИРУЮЩЕМУ ЛИЦУ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выбор кредитора о [взыскании в деле / уступке части требования / выдаче исполнительного листа].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Определить долю кредитора в требовании к контролирующему лицу.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Произвести необходимые процессуальные замены и выдать исполнительный документ.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