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КАССАЦИОННАЯ ЖАЛОБА НА СУДЕБНЫЕ АКТЫ ПО СПОРУ ОБ ОСПАРИВАНИИ СДЕЛКИ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Настоящая кассационная жалоба подаётся на определение Арбитражного суда города Москвы от [дата] и постановление суда апелляционной инстанции от [дата] по делу № А40-[номер]/20__, которыми [результат].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Доводы касаются существенных нарушений права и мотивированности актов, а не простой переоценки доказательств. Выводы судов не соответствуют установленным обстоятельствам либо приняты с нарушением предмета доказывания.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Отменить судебные акты первой и апелляционной инстанций по делу № А40-[номер]/20__.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Направить обособленный спор на новое рассмотрение / принять новый судебный акт при наличии процессуальных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Приостановить исполнение обжалуемых судебных актов до рассмотрения кассационной жалобы, если подано отдельное ходатайство и предоставлено встречное обеспечение.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