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ПРИМЕНЕНИИ СРОКА ИСКОВОЙ ДАВНОСТИ К ТРЕБОВАНИЮ ОБ ОСПАРИВАНИИ СДЕЛКИ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Исковая давность применяется только по заявлению стороны; необходимо определить начало течения срока с учётом момента, когда уполномоченное лицо узнало или должно было узнать об основании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Исковая давность применяется только по заявлению стороны; необходимо определить начало течения срока с учётом момента, когда уполномоченное лицо узнало или должно было узнать об основании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Применить исковую давность.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Отказать в удовлетворении заявления об оспаривании сделки.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с заявителя судебные расходы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