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ОБ ОТСУТСТВИИ ОСВЕДОМЛЁННОСТИ О НЕПЛАТЁЖЕСПОСОБНОСТИ ДОЛЖНИКА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не был аффилирован, не участвовал в управлении и не имел доступа к внутренней отчётности; публичные признаки кризиса отсутствовали.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признании сделки недействительной и применении последствий.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Снять обеспечительные меры, принятые в отношении имущества ответчика.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судебные расходы при представлении подтверждающих документов.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