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О СОВЕРШЕНИИ СДЕЛКИ В ПРОЦЕССЕ ОБЫЧНОЙ ХОЗЯЙСТВЕННОЙ ДЕЯТЕЛЬНОСТИ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Операция соответствовала основному виду деятельности, регулярно совершалась на сопоставимых условиях и не выходила по размеру за обычные показатели.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оценке обычной хозяйственной деятельности учитываются характер бизнеса, периодичность, размер и экономическая цель операции, а также пункт 2 статьи 61.4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оценке обычной хозяйственной деятельности учитываются характер бизнеса, периодичность, размер и экономическая цель операции, а также пункт 2 статьи 61.4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признании сделки недействительной и применении последствий.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Снять обеспечительные меры, принятые в отношении имущества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судебные расходы при представлении подтверждающих документов.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