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НА ЗАЯВЛЕНИЕ ОБ ОСПАРИВАНИИ СДЕЛКИ ПО МОТИВУ НЕРАВНОЦЕННОСТИ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Пункт 1 статьи 61.2 Федерального закона № 127-ФЗ требует сопоставить встречное исполнение с рыночной стоимостью и условиями аналогичных сделок.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Пункт 1 статьи 61.2 Федерального закона № 127-ФЗ требует сопоставить встречное исполнение с рыночной стоимостью и условиями аналогичных сделок.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признании сделки недействительной и применении последствий.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Снять обеспечительные меры, принятые в отношении имущества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судебные расходы при представлении подтверждающих документов.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