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ПРИМЕНЕНИИ ПОСЛЕДСТВИЙ НЕДЕЙСТВИТЕЛЬНОСТИ СДЕЛКИ И ВЗЫСКАНИИ СТОИМОСТИ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Имущество отсутствует в натуре / отчуждено, поэтому заявлен возврат действительной стоимости на юридически значимую дату с учётом встречного исполнения и возможных процентов.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Применить последствия недействительности ранее оспоренной сделки.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Взыскать в конкурсную массу стоимость имущества в размере [сумма] руб. и проценты в предусмотренных законом случаях.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встречное требование ответчика к должнику в установленной законом очередности.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