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ОБ ОСПАРИВАНИИ ЦЕПОЧКИ СДЕЛОК ПО ВЫВОДУ ИМУЩЕСТВА ДОЛЖНИКА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рамках дела о банкротстве [наименование должника] рассматривается обособленный спор, связанный с [указать предмет]. Настоящий документ подаётся для защиты нарушенных прав и формирования полной доказательственной базы.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Должник совершил [дата] сделку с [контрагент] на условиях [предмет, цена, порядок исполнения]. Сделка совершена в пределах предусмотренного законом периода подозрительности.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результате из конкурсной массы выбыло имущество/денежные средства стоимостью [сумма] руб., а встречное исполнение [отсутствовало/было неравноценным/предоставлено с предпочтением].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Связь сторон, финансовое состояние должника и движение активов подтверждаются [выписки, ЕГРЮЛ, первичные документы, оценка, переписка].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Последовательные сделки образуют единую схему: актив прошёл через промежуточных лиц без реальной оплаты и оказался у конечного выгодоприобретателя.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61.1-61.9 Федерального закона № 127-ФЗ, статьями 10, 166-170 и 181 ГК РФ, статьями 65, 66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Оспаривание сделки требует установить конкретное основание, период её совершения и все элементы состава. При неравноценности сопоставляются рыночные условия; при причинении вреда — цель, вред и осведомлённость; при предпочтении — изменение очередности. Последствия должны восстановить конкурсную массу без двойного взыскания.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Оспаривание сделки требует установления состава конкретного основания недействительности, периода её совершения, вреда конкурсной массе и осведомлённости контрагента в предусмотренных законом случаях. Последствия должны восстанавливать конкурсную массу без необоснованного обогащения.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квалификации сделок учитываются разъяснения постановления Пленума ВАС РФ от 23.12.2010 № 63 в применимой редакции.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Признать взаимосвязанную цепочку сделок недействительной как единую схему вывода актива.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Истребовать имущество у конечного приобретателя / взыскать действительную стоимость.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Восстановить права и записи, существовавшие до совершения цепочки.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правоустанавливающие документы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инвентаризационная опись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выписки из государственных реестров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хронология сделки и движения имущества или денег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сведения об аффилированности и финансовом состоянии должника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