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ОСПАРИВАНИИ СДЕЛКИ, СОВЕРШЁННОЙ С ЦЕЛЬЮ ПРИЧИНЕНИЯ ВРЕДА КРЕДИТОРАМ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дату сделки имелась неплатёжеспособность и просроченные обязательства, сделка вывела существенный актив. Осведомлённость контрагента подтверждается аффилированностью / доступом к отчётности / необычными условиями.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Пункт 2 статьи 61.2 Федерального закона № 127-ФЗ предполагает доказывание цели причинения вреда, фактического вреда имущественным правам кредиторов и осведомлённости другой стороны.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Пункт 2 статьи 61.2 Федерального закона № 127-ФЗ предполагает доказывание цели причинения вреда, фактического вреда имущественным правам кредиторов и осведомлённости другой стороны.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сделку/платёж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недействительности: взыскать [сумма] руб. / возвратить имущество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задолженность должника перед ответчиком в предусмотренном законом порядке, если встречное исполнение доказано.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