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007. ЗАКЛЮЧЕНИЕ О ЗАКОННОСТИ СИСТЕМЫ ПРЕМИРОВАНИЯ И KPI.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Кадровый аудит и оценка трудовых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«Заключение о законности системы премирования и KPI.».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занимает должность «юрисконсульт» с окладом 160 000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129, 132, 135, 136, 191 и 236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Признание премии составной частью заработной платы.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Взыскание невыплаченной суммы и компенсации за задержку.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Оспаривание субъективной оценки работодателя.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Дискриминационный подход к работникам одной категории.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законности системы премирования и KPI.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