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047. ПОЛОЖЕНИЕ О НЕНОРМИРОВАННОМ РАБОЧЕМ ДНЕ.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147-к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ненормированном рабочем дне.»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Федорова Наталья Игоревна, занимающего должность «юрисконсульт» в подразделении «юридический 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ненормированном рабочем дне.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