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026. СРОЧНЫЙ ТРУДОВОЙ ДОГОВОР.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Петрова Марина Олеговна,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Петрова Марина Олеговна, занимающего должность «главный бухгалтер» в подразделении «финансовая служба».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«главный бухгалтер» в подразделении «финансовая служба».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185 000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Петрова Марина Олеговна</w:t>
              <w:br/>
              <w:t>паспорт: [данные]</w:t>
              <w:br/>
              <w:t>____________ / Петрова Марина Олеговна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Срочный трудовой договор.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