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213. ИСКОВОЕ ЗАЯВЛЕНИЕ О ПРИЗНАНИИ ДИСЦИПЛИНАРНОГО ВЗЫСКАНИЯ НЕЗАКОННЫМ.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Орлова Анна Михайловна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2-4213/2026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 ПРИЗНАНИИ ДИСЦИПЛИНАРНОГО ВЗЫСКАНИЯ НЕЗАКОННЫМ.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Орлова Анна Михайловна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213-ТД/2026 заключен 12 января 2026 года. Работнику установлен оклад 175 000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387 500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дисциплинарного взыскания незаконным.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