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ХОДАТАЙСТВО О ЗАМЕНЕ СТОРОНЫ ЕЁ ПРАВОПРЕЕМНИКОМ</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В производстве суда находится дело № [номер]. Заявитель добросовестно раскрыл позицию и просит совершить процессуальное действие, необходимое для полного рассмотрения.</w:t>
      </w:r>
    </w:p>
    <w:p>
      <w:pPr>
        <w:keepNext w:val="0"/>
        <w:spacing w:before="0" w:after="80" w:line="276" w:lineRule="auto"/>
        <w:ind w:firstLine="709"/>
        <w:jc w:val="both"/>
      </w:pPr>
      <w:r>
        <w:rPr>
          <w:rFonts w:ascii="Times New Roman" w:hAnsi="Times New Roman" w:eastAsia="Times New Roman"/>
          <w:b w:val="0"/>
          <w:i w:val="0"/>
          <w:sz w:val="24"/>
        </w:rPr>
        <w:t>Основание ходатайства возникло [дата] и подтверждается приложенными документами. Просьба заявлена при первой возможности и не направлена на затягивание.</w:t>
      </w:r>
    </w:p>
    <w:p>
      <w:pPr>
        <w:keepNext w:val="0"/>
        <w:spacing w:before="0" w:after="80" w:line="276" w:lineRule="auto"/>
        <w:ind w:firstLine="709"/>
        <w:jc w:val="both"/>
      </w:pPr>
      <w:r>
        <w:rPr>
          <w:rFonts w:ascii="Times New Roman" w:hAnsi="Times New Roman" w:eastAsia="Times New Roman"/>
          <w:b w:val="0"/>
          <w:i w:val="0"/>
          <w:sz w:val="24"/>
        </w:rPr>
        <w:t>Заявитель предлагает конкретный порядок исполнения ходатайства и разумный срок.</w:t>
      </w:r>
    </w:p>
    <w:p>
      <w:pPr>
        <w:keepNext w:val="0"/>
        <w:spacing w:before="0" w:after="80" w:line="276" w:lineRule="auto"/>
        <w:ind w:firstLine="709"/>
        <w:jc w:val="both"/>
      </w:pPr>
      <w:r>
        <w:rPr>
          <w:rFonts w:ascii="Times New Roman" w:hAnsi="Times New Roman" w:eastAsia="Times New Roman"/>
          <w:b w:val="0"/>
          <w:i w:val="0"/>
          <w:sz w:val="24"/>
        </w:rPr>
        <w:t>Для документа «Ходатайство о замене стороны её правопреемником»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Основание процессуальной просьбы возникло после принятия дела к производству и подтверждается документом с определенной датой. Заявитель сообщает о нем без промедления, раскрывает его другим участникам и предлагает порядок, позволяющий сохранить разумный срок рассмотрения дела.</w:t>
      </w:r>
    </w:p>
    <w:p>
      <w:pPr>
        <w:keepNext w:val="0"/>
        <w:spacing w:before="0" w:after="80" w:line="276" w:lineRule="auto"/>
        <w:ind w:firstLine="709"/>
        <w:jc w:val="both"/>
      </w:pPr>
      <w:r>
        <w:rPr>
          <w:rFonts w:ascii="Times New Roman" w:hAnsi="Times New Roman" w:eastAsia="Times New Roman"/>
          <w:b w:val="0"/>
          <w:i w:val="0"/>
          <w:sz w:val="24"/>
        </w:rPr>
        <w:t>Ходатайство содержит не абстрактную просьбу, а исполнимый алгоритм: какое действие должен совершить суд, в отношении какого лица или материала, в какой срок и каким образом уведомить участников. При наличии альтернативы объясняется, почему выбранный вариант меньше нарушает права другой стороны.</w:t>
      </w:r>
    </w:p>
    <w:p>
      <w:pPr>
        <w:keepNext w:val="0"/>
        <w:spacing w:before="0" w:after="80" w:line="276" w:lineRule="auto"/>
        <w:ind w:firstLine="709"/>
        <w:jc w:val="both"/>
      </w:pPr>
      <w:r>
        <w:rPr>
          <w:rFonts w:ascii="Times New Roman" w:hAnsi="Times New Roman" w:eastAsia="Times New Roman"/>
          <w:b w:val="0"/>
          <w:i w:val="0"/>
          <w:sz w:val="24"/>
        </w:rPr>
        <w:t>После возбуждения дела право требования уступлено по договору от 1 июля 2026 года. Предмет и объем уступки определены, цена уплачена, должник уведомлен.</w:t>
      </w:r>
    </w:p>
    <w:p>
      <w:pPr>
        <w:keepNext w:val="0"/>
        <w:spacing w:before="0" w:after="80" w:line="276" w:lineRule="auto"/>
        <w:ind w:firstLine="709"/>
        <w:jc w:val="both"/>
      </w:pPr>
      <w:r>
        <w:rPr>
          <w:rFonts w:ascii="Times New Roman" w:hAnsi="Times New Roman" w:eastAsia="Times New Roman"/>
          <w:b w:val="0"/>
          <w:i w:val="0"/>
          <w:sz w:val="24"/>
        </w:rPr>
        <w:t>Заявитель представляет договор, акт передачи документов, платеж и выписку; просит заменить сторону в пределах перешедшего права, сохранив совершенные процессуальные действия.</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35 и 166 ГПК РФ регулируют заявления и ходатайства.</w:t>
      </w:r>
    </w:p>
    <w:p>
      <w:pPr>
        <w:keepNext w:val="0"/>
        <w:spacing w:before="0" w:after="80" w:line="276" w:lineRule="auto"/>
        <w:ind w:firstLine="709"/>
        <w:jc w:val="both"/>
      </w:pPr>
      <w:r>
        <w:rPr>
          <w:rFonts w:ascii="Times New Roman" w:hAnsi="Times New Roman" w:eastAsia="Times New Roman"/>
          <w:b w:val="0"/>
          <w:i w:val="0"/>
          <w:sz w:val="24"/>
        </w:rPr>
        <w:t>Специальные основания приостановления, прекращения, оставления без рассмотрения, отвода и сроков применяются в зависимости от предмета документа.</w:t>
      </w:r>
    </w:p>
    <w:p>
      <w:pPr>
        <w:keepNext w:val="0"/>
        <w:spacing w:before="0" w:after="80" w:line="276" w:lineRule="auto"/>
        <w:ind w:firstLine="709"/>
        <w:jc w:val="both"/>
      </w:pPr>
      <w:r>
        <w:rPr>
          <w:rFonts w:ascii="Times New Roman" w:hAnsi="Times New Roman" w:eastAsia="Times New Roman"/>
          <w:b w:val="0"/>
          <w:i w:val="0"/>
          <w:sz w:val="24"/>
        </w:rPr>
        <w:t>Ходатайство подлежит рассмотрению с отражением результата в протоколе или определении.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35, 56 и 166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Произвести процессуальную замену [первоначальная сторона] на [правопреемник] в объеме [право/обязанность].</w:t>
      </w:r>
    </w:p>
    <w:p>
      <w:pPr>
        <w:spacing w:after="60" w:line="276" w:lineRule="auto"/>
        <w:ind w:left="454" w:hanging="454"/>
        <w:jc w:val="both"/>
      </w:pPr>
      <w:r>
        <w:rPr>
          <w:rFonts w:ascii="Times New Roman" w:hAnsi="Times New Roman" w:eastAsia="Times New Roman"/>
          <w:b w:val="0"/>
          <w:i w:val="0"/>
          <w:sz w:val="24"/>
        </w:rPr>
        <w:t>2. Признать ранее совершенные процессуальные действия обязательными для правопреемника.</w:t>
      </w:r>
    </w:p>
    <w:p>
      <w:pPr>
        <w:spacing w:after="60" w:line="276" w:lineRule="auto"/>
        <w:ind w:left="454" w:hanging="454"/>
        <w:jc w:val="both"/>
      </w:pPr>
      <w:r>
        <w:rPr>
          <w:rFonts w:ascii="Times New Roman" w:hAnsi="Times New Roman" w:eastAsia="Times New Roman"/>
          <w:b w:val="0"/>
          <w:i w:val="0"/>
          <w:sz w:val="24"/>
        </w:rPr>
        <w:t>3. Внести сведения о правопреемнике в карточку дела.</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Документы, подтверждающие конкретное процессуальное основание.</w:t>
      </w:r>
    </w:p>
    <w:p>
      <w:pPr>
        <w:spacing w:after="60" w:line="276" w:lineRule="auto"/>
        <w:ind w:left="454" w:hanging="454"/>
        <w:jc w:val="both"/>
      </w:pPr>
      <w:r>
        <w:rPr>
          <w:rFonts w:ascii="Times New Roman" w:hAnsi="Times New Roman" w:eastAsia="Times New Roman"/>
          <w:b w:val="0"/>
          <w:i w:val="0"/>
          <w:sz w:val="24"/>
        </w:rPr>
        <w:t>2. Копии судебных актов / сведений о связанных делах — когда применимо.</w:t>
      </w:r>
    </w:p>
    <w:p>
      <w:pPr>
        <w:spacing w:after="60" w:line="276" w:lineRule="auto"/>
        <w:ind w:left="454" w:hanging="454"/>
        <w:jc w:val="both"/>
      </w:pPr>
      <w:r>
        <w:rPr>
          <w:rFonts w:ascii="Times New Roman" w:hAnsi="Times New Roman" w:eastAsia="Times New Roman"/>
          <w:b w:val="0"/>
          <w:i w:val="0"/>
          <w:sz w:val="24"/>
        </w:rPr>
        <w:t>3. Контактные и регистрационные сведения привлекаемого лица — когда применимо.</w:t>
      </w:r>
    </w:p>
    <w:p>
      <w:pPr>
        <w:spacing w:after="60" w:line="276" w:lineRule="auto"/>
        <w:ind w:left="454" w:hanging="454"/>
        <w:jc w:val="both"/>
      </w:pPr>
      <w:r>
        <w:rPr>
          <w:rFonts w:ascii="Times New Roman" w:hAnsi="Times New Roman" w:eastAsia="Times New Roman"/>
          <w:b w:val="0"/>
          <w:i w:val="0"/>
          <w:sz w:val="24"/>
        </w:rPr>
        <w:t>4.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5.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Ходатайство о замене стороны её правопреемником</dc:title>
  <dc:subject>Подробный образец № 93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