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ПРИВЛЕЧЕНИИ ТРЕТЬЕГО ЛИЦА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привлечении третьего лица»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Решение может создать основание для регрессного требования или повлиять на зарегистрированное право лица, хотя прямое требование к нему не заявлено.</w:t>
      </w:r>
    </w:p>
    <w:p>
      <w:pPr>
        <w:keepNext w:val="0"/>
        <w:spacing w:before="0" w:after="80" w:line="276" w:lineRule="auto"/>
        <w:ind w:firstLine="709"/>
        <w:jc w:val="both"/>
      </w:pPr>
      <w:r>
        <w:rPr>
          <w:rFonts w:ascii="Times New Roman" w:hAnsi="Times New Roman" w:eastAsia="Times New Roman"/>
          <w:b w:val="0"/>
          <w:i w:val="0"/>
          <w:sz w:val="24"/>
        </w:rPr>
        <w:t>Указано, на чьей стороне и по какой причине третье лицо должно участвовать, а также его адрес и связь с предметом спора.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50–51 АПК РФ либо статьи 42–43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Привлечь [лицо, реквизиты] третьим лицом, не заявляющим самостоятельных требований, на стороне [сторона].</w:t>
      </w:r>
    </w:p>
    <w:p>
      <w:pPr>
        <w:spacing w:after="60" w:line="276" w:lineRule="auto"/>
        <w:ind w:left="454" w:hanging="454"/>
        <w:jc w:val="both"/>
      </w:pPr>
      <w:r>
        <w:rPr>
          <w:rFonts w:ascii="Times New Roman" w:hAnsi="Times New Roman" w:eastAsia="Times New Roman"/>
          <w:b w:val="0"/>
          <w:i w:val="0"/>
          <w:sz w:val="24"/>
        </w:rPr>
        <w:t>2. Направить ему копии документов и уведомить о заседании.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привлечении третьего лица</dc:title>
  <dc:subject>Подробный образец № 90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