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ПРИВЛЕЧЕНИИ СООТВЕТЧИКА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привлечении соответчика»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Из представленных документов следует, что обязанность могла быть совместно возложена на второе лицо, подписавшее договор и получившее встречное предоставление.</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самостоятельное материально-правовое основание требования к соответчику и его реквизиты.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46 АПК РФ либо статья 40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Привлечь [лицо, реквизиты] к участию в деле в качестве соответчика.</w:t>
      </w:r>
    </w:p>
    <w:p>
      <w:pPr>
        <w:spacing w:after="60" w:line="276" w:lineRule="auto"/>
        <w:ind w:left="454" w:hanging="454"/>
        <w:jc w:val="both"/>
      </w:pPr>
      <w:r>
        <w:rPr>
          <w:rFonts w:ascii="Times New Roman" w:hAnsi="Times New Roman" w:eastAsia="Times New Roman"/>
          <w:b w:val="0"/>
          <w:i w:val="0"/>
          <w:sz w:val="24"/>
        </w:rPr>
        <w:t>2. Направить ему копии процессуальных документов и предоставить срок для позиции.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привлечении соответчика</dc:title>
  <dc:subject>Подробный образец № 89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