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ОТЛОЖЕНИИ СУДЕБНОГО ЗАСЕДАНИЯ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Уважительная причина подтверждается документально; объясняется невозможность замены представителя или подготовки без нарушения права на защиту.</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Заседание назначено на 22 июля 2026 года. Единственный представитель, знакомый с объемным делом, госпитализирован 20 июля, а замена без доступа к материалам не позволит обеспечить реальную защиту.</w:t>
      </w:r>
    </w:p>
    <w:p>
      <w:pPr>
        <w:keepNext w:val="0"/>
        <w:spacing w:before="0" w:after="80" w:line="276" w:lineRule="auto"/>
        <w:ind w:firstLine="709"/>
        <w:jc w:val="both"/>
      </w:pPr>
      <w:r>
        <w:rPr>
          <w:rFonts w:ascii="Times New Roman" w:hAnsi="Times New Roman" w:eastAsia="Times New Roman"/>
          <w:b w:val="0"/>
          <w:i w:val="0"/>
          <w:sz w:val="24"/>
        </w:rPr>
        <w:t>К ходатайству приложены подтверждение уважительной причины и предложение новой даты после 5 августа. Позиция и имеющиеся доказательства раскрыты заранее.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158 АПК РФ либо статья 169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Отложить судебное заседание, назначенное на [дата и время], на дату после [дата].</w:t>
      </w:r>
    </w:p>
    <w:p>
      <w:pPr>
        <w:spacing w:after="60" w:line="276" w:lineRule="auto"/>
        <w:ind w:left="454" w:hanging="454"/>
        <w:jc w:val="both"/>
      </w:pPr>
      <w:r>
        <w:rPr>
          <w:rFonts w:ascii="Times New Roman" w:hAnsi="Times New Roman" w:eastAsia="Times New Roman"/>
          <w:b w:val="0"/>
          <w:i w:val="0"/>
          <w:sz w:val="24"/>
        </w:rPr>
        <w:t>2. Приобщить документы, подтверждающие уважительность причины и заблаговременность заявления.</w:t>
      </w:r>
    </w:p>
    <w:p>
      <w:pPr>
        <w:spacing w:after="60" w:line="276" w:lineRule="auto"/>
        <w:ind w:left="454" w:hanging="454"/>
        <w:jc w:val="both"/>
      </w:pPr>
      <w:r>
        <w:rPr>
          <w:rFonts w:ascii="Times New Roman" w:hAnsi="Times New Roman" w:eastAsia="Times New Roman"/>
          <w:b w:val="0"/>
          <w:i w:val="0"/>
          <w:sz w:val="24"/>
        </w:rPr>
        <w:t>3. Направить сведения о новой дате участникам дела.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подтверждающий уважительную причину.</w:t>
      </w:r>
    </w:p>
    <w:p>
      <w:pPr>
        <w:spacing w:after="60" w:line="276" w:lineRule="auto"/>
        <w:ind w:left="454" w:hanging="454"/>
        <w:jc w:val="both"/>
      </w:pPr>
      <w:r>
        <w:rPr>
          <w:rFonts w:ascii="Times New Roman" w:hAnsi="Times New Roman" w:eastAsia="Times New Roman"/>
          <w:b w:val="0"/>
          <w:i w:val="0"/>
          <w:sz w:val="24"/>
        </w:rPr>
        <w:t>2. Сведения о дате назначения заседания и невозможности замены представителя.</w:t>
      </w:r>
    </w:p>
    <w:p>
      <w:pPr>
        <w:spacing w:after="60" w:line="276" w:lineRule="auto"/>
        <w:ind w:left="454" w:hanging="454"/>
        <w:jc w:val="both"/>
      </w:pPr>
      <w:r>
        <w:rPr>
          <w:rFonts w:ascii="Times New Roman" w:hAnsi="Times New Roman" w:eastAsia="Times New Roman"/>
          <w:b w:val="0"/>
          <w:i w:val="0"/>
          <w:sz w:val="24"/>
        </w:rPr>
        <w:t>3.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4.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отложении судебного заседания</dc:title>
  <dc:subject>Подробный образец № 83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