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ВОЗРАЖЕНИЯ ПРОТИВ РАЗМЕРА ВСТРЕЧНОГО ОБЕСПЕЧЕНИЯ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Иск заявлен на 8 500 000 руб. После получения претензии ответчик начал отчуждать активы и подал документы на регистрацию перехода права на имущество.</w:t>
      </w:r>
    </w:p>
    <w:p>
      <w:pPr>
        <w:keepNext w:val="0"/>
        <w:spacing w:before="0" w:after="80" w:line="276" w:lineRule="auto"/>
        <w:ind w:firstLine="709"/>
        <w:jc w:val="both"/>
      </w:pPr>
      <w:r>
        <w:rPr>
          <w:rFonts w:ascii="Times New Roman" w:hAnsi="Times New Roman" w:eastAsia="Times New Roman"/>
          <w:b w:val="0"/>
          <w:i w:val="0"/>
          <w:sz w:val="24"/>
        </w:rPr>
        <w:t>Риск подтверждается выписками из реестров, объявлением о продаже и сведениями об исполнительных производствах.</w:t>
      </w:r>
    </w:p>
    <w:p>
      <w:pPr>
        <w:keepNext w:val="0"/>
        <w:spacing w:before="0" w:after="80" w:line="276" w:lineRule="auto"/>
        <w:ind w:firstLine="709"/>
        <w:jc w:val="both"/>
      </w:pPr>
      <w:r>
        <w:rPr>
          <w:rFonts w:ascii="Times New Roman" w:hAnsi="Times New Roman" w:eastAsia="Times New Roman"/>
          <w:b w:val="0"/>
          <w:i w:val="0"/>
          <w:sz w:val="24"/>
        </w:rPr>
        <w:t>Запрашиваемая мера связана с предметом спора, ограничена ценой иска или конкретным объектом и не должна блокировать обычную деятельность сверх необходимого.</w:t>
      </w:r>
    </w:p>
    <w:p>
      <w:pPr>
        <w:keepNext w:val="0"/>
        <w:spacing w:before="0" w:after="80" w:line="276" w:lineRule="auto"/>
        <w:ind w:firstLine="709"/>
        <w:jc w:val="both"/>
      </w:pPr>
      <w:r>
        <w:rPr>
          <w:rFonts w:ascii="Times New Roman" w:hAnsi="Times New Roman" w:eastAsia="Times New Roman"/>
          <w:b w:val="0"/>
          <w:i w:val="0"/>
          <w:sz w:val="24"/>
        </w:rPr>
        <w:t>Доказываются реальный риск, связь меры с предметом, соразмерность, конкретный объект и баланс интересов; общая ссылка на возможное неисполнение недостаточна.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Риск неисполнения подтверждается совокупностью обстоятельств: после получения претензии ответчик разместил объявление о продаже основного актива, подал документы на регистрацию перехода права и прекратил отвечать на запросы. Сам по себе размер иска не используется как единственное основание обеспечительной меры.</w:t>
      </w:r>
    </w:p>
    <w:p>
      <w:pPr>
        <w:keepNext w:val="0"/>
        <w:spacing w:before="0" w:after="80" w:line="276" w:lineRule="auto"/>
        <w:ind w:firstLine="709"/>
        <w:jc w:val="both"/>
      </w:pPr>
      <w:r>
        <w:rPr>
          <w:rFonts w:ascii="Times New Roman" w:hAnsi="Times New Roman" w:eastAsia="Times New Roman"/>
          <w:b w:val="0"/>
          <w:i w:val="0"/>
          <w:sz w:val="24"/>
        </w:rPr>
        <w:t>Предлагаемая мера ограничена суммой 8 500 000 руб. либо конкретным объектом и не препятствует выплате заработной платы, обязательных платежей и обычной хозяйственной деятельности. В документе также рассматривается менее обременительная альтернатива и возможность встречного обеспечения.</w:t>
      </w:r>
    </w:p>
    <w:p>
      <w:pPr>
        <w:keepNext w:val="0"/>
        <w:spacing w:before="0" w:after="80" w:line="276" w:lineRule="auto"/>
        <w:ind w:firstLine="709"/>
        <w:jc w:val="both"/>
      </w:pPr>
      <w:r>
        <w:rPr>
          <w:rFonts w:ascii="Times New Roman" w:hAnsi="Times New Roman" w:eastAsia="Times New Roman"/>
          <w:b w:val="0"/>
          <w:i w:val="0"/>
          <w:sz w:val="24"/>
        </w:rPr>
        <w:t>Суд предложил встречное обеспечение, значительно превышающее возможные убытки и цену иска. Расчет оппонента включает гипотетическую упущенную выгоду без подтвержденных контрактов.</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меньшую сумму, подтвержденную реальными расходами и периодом действия меры.</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Для обеспечительных мер вероятность удовлетворения иска не доказывается в том же объеме, что при разрешении спора, однако заявитель обязан представить убедительные данные о риске и соразмерности. Предположения о недобросовестности без фактической опоры исключаются.</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139–146 ГПК РФ регулируют обеспечение иска.</w:t>
      </w:r>
    </w:p>
    <w:p>
      <w:pPr>
        <w:keepNext w:val="0"/>
        <w:spacing w:before="0" w:after="80" w:line="276" w:lineRule="auto"/>
        <w:ind w:firstLine="709"/>
        <w:jc w:val="both"/>
      </w:pPr>
      <w:r>
        <w:rPr>
          <w:rFonts w:ascii="Times New Roman" w:hAnsi="Times New Roman" w:eastAsia="Times New Roman"/>
          <w:b w:val="0"/>
          <w:i w:val="0"/>
          <w:sz w:val="24"/>
        </w:rPr>
        <w:t>Мера должна быть связана с предметом, соразмерна и направлена на предотвращение реального риска затруднения исполнения.</w:t>
      </w:r>
    </w:p>
    <w:p>
      <w:pPr>
        <w:keepNext w:val="0"/>
        <w:spacing w:before="0" w:after="80" w:line="276" w:lineRule="auto"/>
        <w:ind w:firstLine="709"/>
        <w:jc w:val="both"/>
      </w:pPr>
      <w:r>
        <w:rPr>
          <w:rFonts w:ascii="Times New Roman" w:hAnsi="Times New Roman" w:eastAsia="Times New Roman"/>
          <w:b w:val="0"/>
          <w:i w:val="0"/>
          <w:sz w:val="24"/>
        </w:rPr>
        <w:t>Суд учитывает встречное обеспечение и возможные убытки другой стороны.</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90–99 АПК РФ либо статьи 139–146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Уменьшить размер встречного обеспечения до [сумма] руб.</w:t>
      </w:r>
    </w:p>
    <w:p>
      <w:pPr>
        <w:spacing w:after="60" w:line="276" w:lineRule="auto"/>
        <w:ind w:left="454" w:hanging="454"/>
        <w:jc w:val="both"/>
      </w:pPr>
      <w:r>
        <w:rPr>
          <w:rFonts w:ascii="Times New Roman" w:hAnsi="Times New Roman" w:eastAsia="Times New Roman"/>
          <w:b w:val="0"/>
          <w:i w:val="0"/>
          <w:sz w:val="24"/>
        </w:rPr>
        <w:t>2. Принять предложенный способ обеспечения как достаточный и соразмерный.</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Доказательства реального риска: выписки из реестров, объявления, сведения об исполнительных производствах, переписка.</w:t>
      </w:r>
    </w:p>
    <w:p>
      <w:pPr>
        <w:spacing w:after="60" w:line="276" w:lineRule="auto"/>
        <w:ind w:left="454" w:hanging="454"/>
        <w:jc w:val="both"/>
      </w:pPr>
      <w:r>
        <w:rPr>
          <w:rFonts w:ascii="Times New Roman" w:hAnsi="Times New Roman" w:eastAsia="Times New Roman"/>
          <w:b w:val="0"/>
          <w:i w:val="0"/>
          <w:sz w:val="24"/>
        </w:rPr>
        <w:t>2. Расчет соразмерности меры и цены требования.</w:t>
      </w:r>
    </w:p>
    <w:p>
      <w:pPr>
        <w:spacing w:after="60" w:line="276" w:lineRule="auto"/>
        <w:ind w:left="454" w:hanging="454"/>
        <w:jc w:val="both"/>
      </w:pPr>
      <w:r>
        <w:rPr>
          <w:rFonts w:ascii="Times New Roman" w:hAnsi="Times New Roman" w:eastAsia="Times New Roman"/>
          <w:b w:val="0"/>
          <w:i w:val="0"/>
          <w:sz w:val="24"/>
        </w:rPr>
        <w:t>3. Документы об идентификации имущества / счетов / регистрационного объекта.</w:t>
      </w:r>
    </w:p>
    <w:p>
      <w:pPr>
        <w:spacing w:after="60" w:line="276" w:lineRule="auto"/>
        <w:ind w:left="454" w:hanging="454"/>
        <w:jc w:val="both"/>
      </w:pPr>
      <w:r>
        <w:rPr>
          <w:rFonts w:ascii="Times New Roman" w:hAnsi="Times New Roman" w:eastAsia="Times New Roman"/>
          <w:b w:val="0"/>
          <w:i w:val="0"/>
          <w:sz w:val="24"/>
        </w:rPr>
        <w:t>4. Предложение о встречном обеспечении либо возражения о его необходимости.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против размера встречного обеспечения</dc:title>
  <dc:subject>Подробный образец № 80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