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ЗАМЕНЕ ОДНОЙ ОБЕСПЕЧИТЕЛЬНОЙ МЕРЫ ДРУГОЙ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Арест расчетного счета препятствует выплате заработной платы, при этом ответчик предлагает залог ликвидного имущества либо внесение суммы на депозит.</w:t>
      </w:r>
    </w:p>
    <w:p>
      <w:pPr>
        <w:keepNext w:val="0"/>
        <w:spacing w:before="0" w:after="80" w:line="276" w:lineRule="auto"/>
        <w:ind w:firstLine="709"/>
        <w:jc w:val="both"/>
      </w:pPr>
      <w:r>
        <w:rPr>
          <w:rFonts w:ascii="Times New Roman" w:hAnsi="Times New Roman" w:eastAsia="Times New Roman"/>
          <w:b w:val="0"/>
          <w:i w:val="0"/>
          <w:sz w:val="24"/>
        </w:rPr>
        <w:t>Новая мера обеспечивает тот же объем интереса истца и является менее обременительной.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Заменить арест [объект] на [денежный депозит / гарантию / арест другого имущества] стоимостью [сумма].</w:t>
      </w:r>
    </w:p>
    <w:p>
      <w:pPr>
        <w:spacing w:after="60" w:line="276" w:lineRule="auto"/>
        <w:ind w:left="454" w:hanging="454"/>
        <w:jc w:val="both"/>
      </w:pPr>
      <w:r>
        <w:rPr>
          <w:rFonts w:ascii="Times New Roman" w:hAnsi="Times New Roman" w:eastAsia="Times New Roman"/>
          <w:b w:val="0"/>
          <w:i w:val="0"/>
          <w:sz w:val="24"/>
        </w:rPr>
        <w:t>2. Сохранить первоначальную меру до фактического предоставления замены.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замене одной обеспечительной меры другой</dc:title>
  <dc:subject>Подробный образец № 78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