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ЗАПРЕТЕ ОТВЕТЧИКУ СОВЕРШАТЬ ОПРЕДЕЛЁННЫЕ ДЕЙСТВИЯ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запрете ответчику совершать определённые действия»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Продолжение конкретных действий может необратимо изменить предмет спора: демонтировать объект, передать документацию или прекратить доступ к системе.</w:t>
      </w:r>
    </w:p>
    <w:p>
      <w:pPr>
        <w:keepNext w:val="0"/>
        <w:spacing w:before="0" w:after="80" w:line="276" w:lineRule="auto"/>
        <w:ind w:firstLine="709"/>
        <w:jc w:val="both"/>
      </w:pPr>
      <w:r>
        <w:rPr>
          <w:rFonts w:ascii="Times New Roman" w:hAnsi="Times New Roman" w:eastAsia="Times New Roman"/>
          <w:b w:val="0"/>
          <w:i w:val="0"/>
          <w:sz w:val="24"/>
        </w:rPr>
        <w:t>Просьба описывает запрещаемое действие исчерпывающе и не ограничивает деятельность ответчика за пределами спорного отношения.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Запретить ответчику совершать конкретные действия: [исчерпывающий перечень].</w:t>
      </w:r>
    </w:p>
    <w:p>
      <w:pPr>
        <w:spacing w:after="60" w:line="276" w:lineRule="auto"/>
        <w:ind w:left="454" w:hanging="454"/>
        <w:jc w:val="both"/>
      </w:pPr>
      <w:r>
        <w:rPr>
          <w:rFonts w:ascii="Times New Roman" w:hAnsi="Times New Roman" w:eastAsia="Times New Roman"/>
          <w:b w:val="0"/>
          <w:i w:val="0"/>
          <w:sz w:val="24"/>
        </w:rPr>
        <w:t>2. Ограничить действие запрета сроком и предметом спора.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запрете ответчику совершать определённые действия</dc:title>
  <dc:subject>Подробный образец № 73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