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ОБЕСПЕЧЕНИИ ИСКА В ГРАЖДАНСКОМ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обеспечительную меру: [точная формулировка].</w:t>
      </w:r>
    </w:p>
    <w:p>
      <w:pPr>
        <w:spacing w:after="60" w:line="276" w:lineRule="auto"/>
        <w:ind w:left="454" w:hanging="454"/>
        <w:jc w:val="both"/>
      </w:pPr>
      <w:r>
        <w:rPr>
          <w:rFonts w:ascii="Times New Roman" w:hAnsi="Times New Roman" w:eastAsia="Times New Roman"/>
          <w:b w:val="0"/>
          <w:i w:val="0"/>
          <w:sz w:val="24"/>
        </w:rPr>
        <w:t>2. Ограничить ее предметом и ценой требования.</w:t>
      </w:r>
    </w:p>
    <w:p>
      <w:pPr>
        <w:spacing w:after="60" w:line="276" w:lineRule="auto"/>
        <w:ind w:left="454" w:hanging="454"/>
        <w:jc w:val="both"/>
      </w:pPr>
      <w:r>
        <w:rPr>
          <w:rFonts w:ascii="Times New Roman" w:hAnsi="Times New Roman" w:eastAsia="Times New Roman"/>
          <w:b w:val="0"/>
          <w:i w:val="0"/>
          <w:sz w:val="24"/>
        </w:rPr>
        <w:t>3. Направить определение для немедленного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обеспечении иска в гражданском процессе</dc:title>
  <dc:subject>Подробный образец № 68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