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НАЗНАЧЕНИИ ОЦЕНОЧНОЙ ЭКСПЕРТИЗЫ</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Объясняется необходимость специальных знаний, перечисляются объекты, вопросы, экспертное учреждение, стоимость, срок и порядок оплаты.</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Размер требования зависит от рыночной стоимости имущества на конкретную дату. Представленные сторонами отчеты существенно расходятся и основаны на разных аналогах.</w:t>
      </w:r>
    </w:p>
    <w:p>
      <w:pPr>
        <w:keepNext w:val="0"/>
        <w:spacing w:before="0" w:after="80" w:line="276" w:lineRule="auto"/>
        <w:ind w:firstLine="709"/>
        <w:jc w:val="both"/>
      </w:pPr>
      <w:r>
        <w:rPr>
          <w:rFonts w:ascii="Times New Roman" w:hAnsi="Times New Roman" w:eastAsia="Times New Roman"/>
          <w:b w:val="0"/>
          <w:i w:val="0"/>
          <w:sz w:val="24"/>
        </w:rPr>
        <w:t>Эксперту предлагается определить стоимость при заданных характеристиках и дате оценки, а не проверить законность сделки или добросовестность сторон.</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Эксперту не ставятся вопросы о праве, виновности, действительности сделки или достоверности показаний. Вопросы касаются фактов, требующих специальных знаний, и допускают проверяемый ответ с описанием методики.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82–87 АПК РФ либо статьи 79–87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Назначить оценочную экспертизу для определения рыночной стоимости [объект] по состоянию на [дата].</w:t>
      </w:r>
    </w:p>
    <w:p>
      <w:pPr>
        <w:spacing w:after="60" w:line="276" w:lineRule="auto"/>
        <w:ind w:left="454" w:hanging="454"/>
        <w:jc w:val="both"/>
      </w:pPr>
      <w:r>
        <w:rPr>
          <w:rFonts w:ascii="Times New Roman" w:hAnsi="Times New Roman" w:eastAsia="Times New Roman"/>
          <w:b w:val="0"/>
          <w:i w:val="0"/>
          <w:sz w:val="24"/>
        </w:rPr>
        <w:t>2. Поставить вопросы о стоимости объекта с указанными характеристиками и при необходимости размере снижения стоимости.</w:t>
      </w:r>
    </w:p>
    <w:p>
      <w:pPr>
        <w:spacing w:after="60" w:line="276" w:lineRule="auto"/>
        <w:ind w:left="454" w:hanging="454"/>
        <w:jc w:val="both"/>
      </w:pPr>
      <w:r>
        <w:rPr>
          <w:rFonts w:ascii="Times New Roman" w:hAnsi="Times New Roman" w:eastAsia="Times New Roman"/>
          <w:b w:val="0"/>
          <w:i w:val="0"/>
          <w:sz w:val="24"/>
        </w:rPr>
        <w:t>3. Поручить исследование [учреждение] и определить оплату.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Проект вопросов эксперту.</w:t>
      </w:r>
    </w:p>
    <w:p>
      <w:pPr>
        <w:spacing w:after="60" w:line="276" w:lineRule="auto"/>
        <w:ind w:left="454" w:hanging="454"/>
        <w:jc w:val="both"/>
      </w:pPr>
      <w:r>
        <w:rPr>
          <w:rFonts w:ascii="Times New Roman" w:hAnsi="Times New Roman" w:eastAsia="Times New Roman"/>
          <w:b w:val="0"/>
          <w:i w:val="0"/>
          <w:sz w:val="24"/>
        </w:rPr>
        <w:t>5. Оригиналы объектов и сравнительные материалы.</w:t>
      </w:r>
    </w:p>
    <w:p>
      <w:pPr>
        <w:spacing w:after="60" w:line="276" w:lineRule="auto"/>
        <w:ind w:left="454" w:hanging="454"/>
        <w:jc w:val="both"/>
      </w:pPr>
      <w:r>
        <w:rPr>
          <w:rFonts w:ascii="Times New Roman" w:hAnsi="Times New Roman" w:eastAsia="Times New Roman"/>
          <w:b w:val="0"/>
          <w:i w:val="0"/>
          <w:sz w:val="24"/>
        </w:rPr>
        <w:t>6. Сведения об экспертном учреждении, сроке, стоимости и согласии провести исследование.</w:t>
      </w:r>
    </w:p>
    <w:p>
      <w:pPr>
        <w:spacing w:after="60" w:line="276" w:lineRule="auto"/>
        <w:ind w:left="454" w:hanging="454"/>
        <w:jc w:val="both"/>
      </w:pPr>
      <w:r>
        <w:rPr>
          <w:rFonts w:ascii="Times New Roman" w:hAnsi="Times New Roman" w:eastAsia="Times New Roman"/>
          <w:b w:val="0"/>
          <w:i w:val="0"/>
          <w:sz w:val="24"/>
        </w:rPr>
        <w:t>7. Документ о внесении средств на депозит — при наличии.</w:t>
      </w:r>
    </w:p>
    <w:p>
      <w:pPr>
        <w:spacing w:after="60" w:line="276" w:lineRule="auto"/>
        <w:ind w:left="454" w:hanging="454"/>
        <w:jc w:val="both"/>
      </w:pPr>
      <w:r>
        <w:rPr>
          <w:rFonts w:ascii="Times New Roman" w:hAnsi="Times New Roman" w:eastAsia="Times New Roman"/>
          <w:b w:val="0"/>
          <w:i w:val="0"/>
          <w:sz w:val="24"/>
        </w:rPr>
        <w:t>8.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9.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назначении оценочной экспертизы</dc:title>
  <dc:subject>Подробный образец № 64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