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НАЗНАЧЕНИИ СТРОИТЕЛЬНО-ТЕХНИЧЕСКОЙ ЭКСПЕРТИЗЫ</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Объясняется необходимость специальных знаний, перечисляются объекты, вопросы, экспертное учреждение, стоимость, срок и порядок оплаты.</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Стороны спорят об объеме, качестве и стоимости фактически выполненных работ. Объект доступен для осмотра, проектная и исполнительная документация сохранена.</w:t>
      </w:r>
    </w:p>
    <w:p>
      <w:pPr>
        <w:keepNext w:val="0"/>
        <w:spacing w:before="0" w:after="80" w:line="276" w:lineRule="auto"/>
        <w:ind w:firstLine="709"/>
        <w:jc w:val="both"/>
      </w:pPr>
      <w:r>
        <w:rPr>
          <w:rFonts w:ascii="Times New Roman" w:hAnsi="Times New Roman" w:eastAsia="Times New Roman"/>
          <w:b w:val="0"/>
          <w:i w:val="0"/>
          <w:sz w:val="24"/>
        </w:rPr>
        <w:t>Вопросы охватывают соответствие проекту, перечень дефектов, причины, стоимость устранения и фактический объем, но не вопрос о виновности стороны.</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Эксперту не ставятся вопросы о праве, виновности, действительности сделки или достоверности показаний. Вопросы касаются фактов, требующих специальных знаний, и допускают проверяемый ответ с описанием методики.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82–87 АПК РФ либо статьи 79–87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Назначить строительно-техническую экспертизу объекта [описание].</w:t>
      </w:r>
    </w:p>
    <w:p>
      <w:pPr>
        <w:spacing w:after="60" w:line="276" w:lineRule="auto"/>
        <w:ind w:left="454" w:hanging="454"/>
        <w:jc w:val="both"/>
      </w:pPr>
      <w:r>
        <w:rPr>
          <w:rFonts w:ascii="Times New Roman" w:hAnsi="Times New Roman" w:eastAsia="Times New Roman"/>
          <w:b w:val="0"/>
          <w:i w:val="0"/>
          <w:sz w:val="24"/>
        </w:rPr>
        <w:t>2. Поставить вопросы о фактическом объеме, соответствии проекту и нормам, дефектах, причинах и стоимости устранения.</w:t>
      </w:r>
    </w:p>
    <w:p>
      <w:pPr>
        <w:spacing w:after="60" w:line="276" w:lineRule="auto"/>
        <w:ind w:left="454" w:hanging="454"/>
        <w:jc w:val="both"/>
      </w:pPr>
      <w:r>
        <w:rPr>
          <w:rFonts w:ascii="Times New Roman" w:hAnsi="Times New Roman" w:eastAsia="Times New Roman"/>
          <w:b w:val="0"/>
          <w:i w:val="0"/>
          <w:sz w:val="24"/>
        </w:rPr>
        <w:t>3. Обеспечить доступ на объект, передать проектную документацию и определить оплату.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Проект вопросов эксперту.</w:t>
      </w:r>
    </w:p>
    <w:p>
      <w:pPr>
        <w:spacing w:after="60" w:line="276" w:lineRule="auto"/>
        <w:ind w:left="454" w:hanging="454"/>
        <w:jc w:val="both"/>
      </w:pPr>
      <w:r>
        <w:rPr>
          <w:rFonts w:ascii="Times New Roman" w:hAnsi="Times New Roman" w:eastAsia="Times New Roman"/>
          <w:b w:val="0"/>
          <w:i w:val="0"/>
          <w:sz w:val="24"/>
        </w:rPr>
        <w:t>5. Оригиналы объектов и сравнительные материалы.</w:t>
      </w:r>
    </w:p>
    <w:p>
      <w:pPr>
        <w:spacing w:after="60" w:line="276" w:lineRule="auto"/>
        <w:ind w:left="454" w:hanging="454"/>
        <w:jc w:val="both"/>
      </w:pPr>
      <w:r>
        <w:rPr>
          <w:rFonts w:ascii="Times New Roman" w:hAnsi="Times New Roman" w:eastAsia="Times New Roman"/>
          <w:b w:val="0"/>
          <w:i w:val="0"/>
          <w:sz w:val="24"/>
        </w:rPr>
        <w:t>6. Сведения об экспертном учреждении, сроке, стоимости и согласии провести исследование.</w:t>
      </w:r>
    </w:p>
    <w:p>
      <w:pPr>
        <w:spacing w:after="60" w:line="276" w:lineRule="auto"/>
        <w:ind w:left="454" w:hanging="454"/>
        <w:jc w:val="both"/>
      </w:pPr>
      <w:r>
        <w:rPr>
          <w:rFonts w:ascii="Times New Roman" w:hAnsi="Times New Roman" w:eastAsia="Times New Roman"/>
          <w:b w:val="0"/>
          <w:i w:val="0"/>
          <w:sz w:val="24"/>
        </w:rPr>
        <w:t>7. Документ о внесении средств на депозит — при наличии.</w:t>
      </w:r>
    </w:p>
    <w:p>
      <w:pPr>
        <w:spacing w:after="60" w:line="276" w:lineRule="auto"/>
        <w:ind w:left="454" w:hanging="454"/>
        <w:jc w:val="both"/>
      </w:pPr>
      <w:r>
        <w:rPr>
          <w:rFonts w:ascii="Times New Roman" w:hAnsi="Times New Roman" w:eastAsia="Times New Roman"/>
          <w:b w:val="0"/>
          <w:i w:val="0"/>
          <w:sz w:val="24"/>
        </w:rPr>
        <w:t>8.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9.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назначении строительно-технической экспертизы</dc:title>
  <dc:subject>Подробный образец № 62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