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ДОПРОСЕ СВИДЕТЕЛЯ ПОСРЕДСТВОМ ВИДЕОКОНФЕРЕНЦ-СВЯЗИ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Указываются данные участника, суд содействия, причины невозможности прибытия и контактная информация.</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Свидетель проживает в другом регионе, состояние здоровья и расстояние затрудняют личную явку, но его показания существенны. Указан ближайший суд, способный организовать видеоконференц-связь.</w:t>
      </w:r>
    </w:p>
    <w:p>
      <w:pPr>
        <w:keepNext w:val="0"/>
        <w:spacing w:before="0" w:after="80" w:line="276" w:lineRule="auto"/>
        <w:ind w:firstLine="709"/>
        <w:jc w:val="both"/>
      </w:pPr>
      <w:r>
        <w:rPr>
          <w:rFonts w:ascii="Times New Roman" w:hAnsi="Times New Roman" w:eastAsia="Times New Roman"/>
          <w:b w:val="0"/>
          <w:i w:val="0"/>
          <w:sz w:val="24"/>
        </w:rPr>
        <w:t>Просьба подана заблаговременно и содержит контактные данные свидетеля и перечень обстоятельств допроса.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153.1 АПК РФ либо статья 155.1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Организовать допрос свидетеля [ФИО] посредством видеоконференц-связи при содействии [суд].</w:t>
      </w:r>
    </w:p>
    <w:p>
      <w:pPr>
        <w:spacing w:after="60" w:line="276" w:lineRule="auto"/>
        <w:ind w:left="454" w:hanging="454"/>
        <w:jc w:val="both"/>
      </w:pPr>
      <w:r>
        <w:rPr>
          <w:rFonts w:ascii="Times New Roman" w:hAnsi="Times New Roman" w:eastAsia="Times New Roman"/>
          <w:b w:val="0"/>
          <w:i w:val="0"/>
          <w:sz w:val="24"/>
        </w:rPr>
        <w:t>2. Направить поручение и уведомить участника о месте и времени явки.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о месте нахождения участника.</w:t>
      </w:r>
    </w:p>
    <w:p>
      <w:pPr>
        <w:spacing w:after="60" w:line="276" w:lineRule="auto"/>
        <w:ind w:left="454" w:hanging="454"/>
        <w:jc w:val="both"/>
      </w:pPr>
      <w:r>
        <w:rPr>
          <w:rFonts w:ascii="Times New Roman" w:hAnsi="Times New Roman" w:eastAsia="Times New Roman"/>
          <w:b w:val="0"/>
          <w:i w:val="0"/>
          <w:sz w:val="24"/>
        </w:rPr>
        <w:t>2. Сведения о суде содействия и контактные данные.</w:t>
      </w:r>
    </w:p>
    <w:p>
      <w:pPr>
        <w:spacing w:after="60" w:line="276" w:lineRule="auto"/>
        <w:ind w:left="454" w:hanging="454"/>
        <w:jc w:val="both"/>
      </w:pPr>
      <w:r>
        <w:rPr>
          <w:rFonts w:ascii="Times New Roman" w:hAnsi="Times New Roman" w:eastAsia="Times New Roman"/>
          <w:b w:val="0"/>
          <w:i w:val="0"/>
          <w:sz w:val="24"/>
        </w:rPr>
        <w:t>3.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4.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допросе свидетеля посредством видеоконференц-связи</dc:title>
  <dc:subject>Подробный образец № 53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