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ПИСЬМЕННЫЕ ОБЪЯСНЕНИЯ СВИДЕТЕЛЯ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«Письменные объяснения свидетеля»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Свидетель излагает обстоятельства по собственной памяти: дату, место, участников передачи и последовательность действий. Он отделяет лично воспринятые факты от сведений, полученных со слов других лиц.</w:t>
      </w:r>
    </w:p>
    <w:p>
      <w:pPr>
        <w:keepNext w:val="0"/>
        <w:spacing w:before="0" w:after="80" w:line="276" w:lineRule="auto"/>
        <w:ind w:firstLine="709"/>
        <w:jc w:val="both"/>
      </w:pPr>
      <w:r>
        <w:rPr>
          <w:rFonts w:ascii="Times New Roman" w:hAnsi="Times New Roman" w:eastAsia="Times New Roman"/>
          <w:b w:val="0"/>
          <w:i w:val="0"/>
          <w:sz w:val="24"/>
        </w:rPr>
        <w:t>В конце указаны паспортные и контактные данные, предупреждение о необходимости явки и готовность подтвердить объяснения в заседании.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письменные объяснения к материалам дела.</w:t>
      </w:r>
    </w:p>
    <w:p>
      <w:pPr>
        <w:spacing w:after="60" w:line="276" w:lineRule="auto"/>
        <w:ind w:left="454" w:hanging="454"/>
        <w:jc w:val="both"/>
      </w:pPr>
      <w:r>
        <w:rPr>
          <w:rFonts w:ascii="Times New Roman" w:hAnsi="Times New Roman" w:eastAsia="Times New Roman"/>
          <w:b w:val="0"/>
          <w:i w:val="0"/>
          <w:sz w:val="24"/>
        </w:rPr>
        <w:t>2. При необходимости вызвать свидетеля для непосредственного допроса и проверки изложенных сведений.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Письменные объяснения свидетеля</dc:title>
  <dc:subject>Подробный образец № 52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