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ПРЕДСТАВЛЕНИИ ПЕРВИЧНЫХ БУХГАЛТЕРСКИХ ДОКУМЕНТОВ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представлении первичных бухгалтерских документов»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Для проверки реальности поставки и отражения платежей необходимы книга покупок, карточка счета, оборотно-сальдовая ведомость и регистры по конкретному контрагенту и периоду.</w:t>
      </w:r>
    </w:p>
    <w:p>
      <w:pPr>
        <w:keepNext w:val="0"/>
        <w:spacing w:before="0" w:after="80" w:line="276" w:lineRule="auto"/>
        <w:ind w:firstLine="709"/>
        <w:jc w:val="both"/>
      </w:pPr>
      <w:r>
        <w:rPr>
          <w:rFonts w:ascii="Times New Roman" w:hAnsi="Times New Roman" w:eastAsia="Times New Roman"/>
          <w:b w:val="0"/>
          <w:i w:val="0"/>
          <w:sz w:val="24"/>
        </w:rPr>
        <w:t>Перечень ограничен спорными операциями; ходатайство объясняет, какой факт подтверждает каждый документ и почему одних односторонних актов недостаточно.</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Истребовать у [лицо] перечисленные регистры и первичные документы по операциям с [контрагент] за [период].</w:t>
      </w:r>
    </w:p>
    <w:p>
      <w:pPr>
        <w:spacing w:after="60" w:line="276" w:lineRule="auto"/>
        <w:ind w:left="454" w:hanging="454"/>
        <w:jc w:val="both"/>
      </w:pPr>
      <w:r>
        <w:rPr>
          <w:rFonts w:ascii="Times New Roman" w:hAnsi="Times New Roman" w:eastAsia="Times New Roman"/>
          <w:b w:val="0"/>
          <w:i w:val="0"/>
          <w:sz w:val="24"/>
        </w:rPr>
        <w:t>2. Установить срок, формат и обязанность заверить копии.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представлении первичных бухгалтерских документов</dc:title>
  <dc:subject>Подробный образец № 49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