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ЗЛОУПОТРЕБЛЕНИИ ПРОЦЕССУАЛЬНЫМИ ПРАВАМИ СО СТОРОНЫ ОППОНЕНТА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А40-[номер]/2026 истец требует взыскать 1 500 000 руб. долга и 168 000 руб. неустойки. Ответчик получил полный комплект и провел сверку документов.</w:t>
      </w:r>
    </w:p>
    <w:p>
      <w:pPr>
        <w:keepNext w:val="0"/>
        <w:spacing w:before="0" w:after="80" w:line="276" w:lineRule="auto"/>
        <w:ind w:firstLine="709"/>
        <w:jc w:val="both"/>
      </w:pPr>
      <w:r>
        <w:rPr>
          <w:rFonts w:ascii="Times New Roman" w:hAnsi="Times New Roman" w:eastAsia="Times New Roman"/>
          <w:b w:val="0"/>
          <w:i w:val="0"/>
          <w:sz w:val="24"/>
        </w:rPr>
        <w:t>Ответчик указывает, что платеж 300 000 руб. не учтен, а часть товара стоимостью 620 000 руб. имела недостатки, зафиксированные актом и перепиской.</w:t>
      </w:r>
    </w:p>
    <w:p>
      <w:pPr>
        <w:keepNext w:val="0"/>
        <w:spacing w:before="0" w:after="80" w:line="276" w:lineRule="auto"/>
        <w:ind w:firstLine="709"/>
        <w:jc w:val="both"/>
      </w:pPr>
      <w:r>
        <w:rPr>
          <w:rFonts w:ascii="Times New Roman" w:hAnsi="Times New Roman" w:eastAsia="Times New Roman"/>
          <w:b w:val="0"/>
          <w:i w:val="0"/>
          <w:sz w:val="24"/>
        </w:rPr>
        <w:t>Позиция раскрывается по каждому требованию отдельно, с контррасчетом и ссылками на приложения.</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злоупотреблении процессуальными правами со стороны оппонента»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Ответчик провел построчную сверку расчета истца и установил, что платеж от 28 мая 2025 года на 300 000 руб. не учтен, а на товар стоимостью 620 000 руб. своевременно составлен акт о недостатках. Эти обстоятельства не означают автоматического отсутствия долга, но требуют определить действительное сальдо и проверить соразмерность дополнительных начислений.</w:t>
      </w:r>
    </w:p>
    <w:p>
      <w:pPr>
        <w:keepNext w:val="0"/>
        <w:spacing w:before="0" w:after="80" w:line="276" w:lineRule="auto"/>
        <w:ind w:firstLine="709"/>
        <w:jc w:val="both"/>
      </w:pPr>
      <w:r>
        <w:rPr>
          <w:rFonts w:ascii="Times New Roman" w:hAnsi="Times New Roman" w:eastAsia="Times New Roman"/>
          <w:b w:val="0"/>
          <w:i w:val="0"/>
          <w:sz w:val="24"/>
        </w:rPr>
        <w:t>Возражения строятся не по принципу полного отрицания, а по каждому юридически значимому обстоятельству: возникновение обязательства, объем исполнения истца, встречное исполнение ответчика, наступление срока, наличие просрочки и размер последствий. Неоспариваемые факты прямо отделяются от спорных.</w:t>
      </w:r>
    </w:p>
    <w:p>
      <w:pPr>
        <w:keepNext w:val="0"/>
        <w:spacing w:before="0" w:after="80" w:line="276" w:lineRule="auto"/>
        <w:ind w:firstLine="709"/>
        <w:jc w:val="both"/>
      </w:pPr>
      <w:r>
        <w:rPr>
          <w:rFonts w:ascii="Times New Roman" w:hAnsi="Times New Roman" w:eastAsia="Times New Roman"/>
          <w:b w:val="0"/>
          <w:i w:val="0"/>
          <w:sz w:val="24"/>
        </w:rPr>
        <w:t>Оппонент последовательно заявляет тождественные ходатайства, не исполняет определения о раскрытии доказательств и представляет документы частями непосредственно перед заседаниями. Эти действия привели к трем отложениям.</w:t>
      </w:r>
    </w:p>
    <w:p>
      <w:pPr>
        <w:keepNext w:val="0"/>
        <w:spacing w:before="0" w:after="80" w:line="276" w:lineRule="auto"/>
        <w:ind w:firstLine="709"/>
        <w:jc w:val="both"/>
      </w:pPr>
      <w:r>
        <w:rPr>
          <w:rFonts w:ascii="Times New Roman" w:hAnsi="Times New Roman" w:eastAsia="Times New Roman"/>
          <w:b w:val="0"/>
          <w:i w:val="0"/>
          <w:sz w:val="24"/>
        </w:rPr>
        <w:t>Заявитель приводит хронологию, последствия и просит конкретную процессуальную реакцию, не подменяя доказательство намерения эмоциональными оценками.</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56 и 57 ГПК РФ регулируют права участников, бремя доказывания и содействие суда.</w:t>
      </w:r>
    </w:p>
    <w:p>
      <w:pPr>
        <w:keepNext w:val="0"/>
        <w:spacing w:before="0" w:after="80" w:line="276" w:lineRule="auto"/>
        <w:ind w:firstLine="709"/>
        <w:jc w:val="both"/>
      </w:pPr>
      <w:r>
        <w:rPr>
          <w:rFonts w:ascii="Times New Roman" w:hAnsi="Times New Roman" w:eastAsia="Times New Roman"/>
          <w:b w:val="0"/>
          <w:i w:val="0"/>
          <w:sz w:val="24"/>
        </w:rPr>
        <w:t>Распорядительные заявления о признании иска проверяются судом на соответствие закону и отсутствие нарушения прав других лиц.</w:t>
      </w:r>
    </w:p>
    <w:p>
      <w:pPr>
        <w:keepNext w:val="0"/>
        <w:spacing w:before="0" w:after="80" w:line="276" w:lineRule="auto"/>
        <w:ind w:firstLine="709"/>
        <w:jc w:val="both"/>
      </w:pPr>
      <w:r>
        <w:rPr>
          <w:rFonts w:ascii="Times New Roman" w:hAnsi="Times New Roman" w:eastAsia="Times New Roman"/>
          <w:b w:val="0"/>
          <w:i w:val="0"/>
          <w:sz w:val="24"/>
        </w:rPr>
        <w:t>Заявление о давности делается стороной до вынесения решения и сопровождается расчетом течения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Признать описанное процессуальное поведение злоупотреблением правом.</w:t>
      </w:r>
    </w:p>
    <w:p>
      <w:pPr>
        <w:spacing w:after="60" w:line="276" w:lineRule="auto"/>
        <w:ind w:left="454" w:hanging="454"/>
        <w:jc w:val="both"/>
      </w:pPr>
      <w:r>
        <w:rPr>
          <w:rFonts w:ascii="Times New Roman" w:hAnsi="Times New Roman" w:eastAsia="Times New Roman"/>
          <w:b w:val="0"/>
          <w:i w:val="0"/>
          <w:sz w:val="24"/>
        </w:rPr>
        <w:t>2. Отказать в повторном / несвоевременном ходатайстве либо применить иное предусмотренное законом последствие.</w:t>
      </w:r>
    </w:p>
    <w:p>
      <w:pPr>
        <w:spacing w:after="60" w:line="276" w:lineRule="auto"/>
        <w:ind w:left="454" w:hanging="454"/>
        <w:jc w:val="both"/>
      </w:pPr>
      <w:r>
        <w:rPr>
          <w:rFonts w:ascii="Times New Roman" w:hAnsi="Times New Roman" w:eastAsia="Times New Roman"/>
          <w:b w:val="0"/>
          <w:i w:val="0"/>
          <w:sz w:val="24"/>
        </w:rPr>
        <w:t>3. Отнести вызванные таким поведением судебные расходы на нарушителя.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искового заявления и уточнений.</w:t>
      </w:r>
    </w:p>
    <w:p>
      <w:pPr>
        <w:spacing w:after="60" w:line="276" w:lineRule="auto"/>
        <w:ind w:left="454" w:hanging="454"/>
        <w:jc w:val="both"/>
      </w:pPr>
      <w:r>
        <w:rPr>
          <w:rFonts w:ascii="Times New Roman" w:hAnsi="Times New Roman" w:eastAsia="Times New Roman"/>
          <w:b w:val="0"/>
          <w:i w:val="0"/>
          <w:sz w:val="24"/>
        </w:rPr>
        <w:t>2. Контррасчет с учетом платежей и встречного исполнения.</w:t>
      </w:r>
    </w:p>
    <w:p>
      <w:pPr>
        <w:spacing w:after="60" w:line="276" w:lineRule="auto"/>
        <w:ind w:left="454" w:hanging="454"/>
        <w:jc w:val="both"/>
      </w:pPr>
      <w:r>
        <w:rPr>
          <w:rFonts w:ascii="Times New Roman" w:hAnsi="Times New Roman" w:eastAsia="Times New Roman"/>
          <w:b w:val="0"/>
          <w:i w:val="0"/>
          <w:sz w:val="24"/>
        </w:rPr>
        <w:t>3. Первичные документы и переписка, подтверждающие возражения.</w:t>
      </w:r>
    </w:p>
    <w:p>
      <w:pPr>
        <w:spacing w:after="60" w:line="276" w:lineRule="auto"/>
        <w:ind w:left="454" w:hanging="454"/>
        <w:jc w:val="both"/>
      </w:pPr>
      <w:r>
        <w:rPr>
          <w:rFonts w:ascii="Times New Roman" w:hAnsi="Times New Roman" w:eastAsia="Times New Roman"/>
          <w:b w:val="0"/>
          <w:i w:val="0"/>
          <w:sz w:val="24"/>
        </w:rPr>
        <w:t>4. Документы о сроках, процессуальном статусе или правопреемстве — по предмету заявления.</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злоупотреблении процессуальными правами со стороны оппонента</dc:title>
  <dc:subject>Подробный образец № 46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