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ПРИВЛЕЧЕНИЯ ЛИЦА В КАЧЕСТВЕ СООТВЕТЧИКА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против привлечения лица в качестве соответчика»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Истец просит привлечь директора общества как соответчика по договорному долгу, но директор не является стороной договора и самостоятельное основание его ответственности не заявлено.</w:t>
      </w:r>
    </w:p>
    <w:p>
      <w:pPr>
        <w:keepNext w:val="0"/>
        <w:spacing w:before="0" w:after="80" w:line="276" w:lineRule="auto"/>
        <w:ind w:firstLine="709"/>
        <w:jc w:val="both"/>
      </w:pPr>
      <w:r>
        <w:rPr>
          <w:rFonts w:ascii="Times New Roman" w:hAnsi="Times New Roman" w:eastAsia="Times New Roman"/>
          <w:b w:val="0"/>
          <w:i w:val="0"/>
          <w:sz w:val="24"/>
        </w:rPr>
        <w:t>Возражения показывают отсутствие материально-правового требования к лицу и различают возможный статус свидетеля, третьего лица и соответчика.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Отказать в привлечении [лицо] в качестве соответчика.</w:t>
      </w:r>
    </w:p>
    <w:p>
      <w:pPr>
        <w:spacing w:after="60" w:line="276" w:lineRule="auto"/>
        <w:ind w:left="454" w:hanging="454"/>
        <w:jc w:val="both"/>
      </w:pPr>
      <w:r>
        <w:rPr>
          <w:rFonts w:ascii="Times New Roman" w:hAnsi="Times New Roman" w:eastAsia="Times New Roman"/>
          <w:b w:val="0"/>
          <w:i w:val="0"/>
          <w:sz w:val="24"/>
        </w:rPr>
        <w:t>2. При необходимости определить его иной процессуальный статус.</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привлечения лица в качестве соответчика</dc:title>
  <dc:subject>Подробный образец № 41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