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ПИСЬМЕННЫЕ ПОЯСНЕНИЯ ОТВЕТЧИКА ПО ДЕЛУ</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«Письменные пояснения ответчика по делу»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В заседании суд предложил раскрыть порядок отражения операций в учете и пояснить назначение платежа от 28 мая 2025 года. Ответчик приводит хронологию, бухгалтерские проводки и связь платежа с конкретной накладной.</w:t>
      </w:r>
    </w:p>
    <w:p>
      <w:pPr>
        <w:keepNext w:val="0"/>
        <w:spacing w:before="0" w:after="80" w:line="276" w:lineRule="auto"/>
        <w:ind w:firstLine="709"/>
        <w:jc w:val="both"/>
      </w:pPr>
      <w:r>
        <w:rPr>
          <w:rFonts w:ascii="Times New Roman" w:hAnsi="Times New Roman" w:eastAsia="Times New Roman"/>
          <w:b w:val="0"/>
          <w:i w:val="0"/>
          <w:sz w:val="24"/>
        </w:rPr>
        <w:t>Пояснения не меняют предмет возражений, а систематизируют уже раскрытые доказательства по вопросам суда.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отзыв / пояснения и приложения к материалам дела.</w:t>
      </w:r>
    </w:p>
    <w:p>
      <w:pPr>
        <w:spacing w:after="60" w:line="276" w:lineRule="auto"/>
        <w:ind w:left="454" w:hanging="454"/>
        <w:jc w:val="both"/>
      </w:pPr>
      <w:r>
        <w:rPr>
          <w:rFonts w:ascii="Times New Roman" w:hAnsi="Times New Roman" w:eastAsia="Times New Roman"/>
          <w:b w:val="0"/>
          <w:i w:val="0"/>
          <w:sz w:val="24"/>
        </w:rPr>
        <w:t>2. Отказать в иске полностью / в оспариваемой части с учетом контррасчета.</w:t>
      </w:r>
    </w:p>
    <w:p>
      <w:pPr>
        <w:spacing w:after="60" w:line="276" w:lineRule="auto"/>
        <w:ind w:left="454" w:hanging="454"/>
        <w:jc w:val="both"/>
      </w:pPr>
      <w:r>
        <w:rPr>
          <w:rFonts w:ascii="Times New Roman" w:hAnsi="Times New Roman" w:eastAsia="Times New Roman"/>
          <w:b w:val="0"/>
          <w:i w:val="0"/>
          <w:sz w:val="24"/>
        </w:rPr>
        <w:t>3. Взыскать в пользу ответчика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Письменные пояснения ответчика по делу</dc:title>
  <dc:subject>Подробный образец № 34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