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ДОПОЛНИТЕЛЬНЫЙ ОТЗЫВ НА ИСКОВОЕ ЗАЯВЛЕНИЕ</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А40-[номер]/2026 истец требует взыскать 1 500 000 руб. долга и 168 000 руб. неустойки. Ответчик получил полный комплект и провел сверку документов.</w:t>
      </w:r>
    </w:p>
    <w:p>
      <w:pPr>
        <w:keepNext w:val="0"/>
        <w:spacing w:before="0" w:after="80" w:line="276" w:lineRule="auto"/>
        <w:ind w:firstLine="709"/>
        <w:jc w:val="both"/>
      </w:pPr>
      <w:r>
        <w:rPr>
          <w:rFonts w:ascii="Times New Roman" w:hAnsi="Times New Roman" w:eastAsia="Times New Roman"/>
          <w:b w:val="0"/>
          <w:i w:val="0"/>
          <w:sz w:val="24"/>
        </w:rPr>
        <w:t>Ответчик указывает, что платеж 300 000 руб. не учтен, а часть товара стоимостью 620 000 руб. имела недостатки, зафиксированные актом и перепиской.</w:t>
      </w:r>
    </w:p>
    <w:p>
      <w:pPr>
        <w:keepNext w:val="0"/>
        <w:spacing w:before="0" w:after="80" w:line="276" w:lineRule="auto"/>
        <w:ind w:firstLine="709"/>
        <w:jc w:val="both"/>
      </w:pPr>
      <w:r>
        <w:rPr>
          <w:rFonts w:ascii="Times New Roman" w:hAnsi="Times New Roman" w:eastAsia="Times New Roman"/>
          <w:b w:val="0"/>
          <w:i w:val="0"/>
          <w:sz w:val="24"/>
        </w:rPr>
        <w:t>Позиция раскрывается по каждому требованию отдельно, с контррасчетом и ссылками на приложения.</w:t>
      </w:r>
    </w:p>
    <w:p>
      <w:pPr>
        <w:keepNext w:val="0"/>
        <w:spacing w:before="0" w:after="80" w:line="276" w:lineRule="auto"/>
        <w:ind w:firstLine="709"/>
        <w:jc w:val="both"/>
      </w:pPr>
      <w:r>
        <w:rPr>
          <w:rFonts w:ascii="Times New Roman" w:hAnsi="Times New Roman" w:eastAsia="Times New Roman"/>
          <w:b w:val="0"/>
          <w:i w:val="0"/>
          <w:sz w:val="24"/>
        </w:rPr>
        <w:t>Для документа «Дополнительный отзыв на исковое заявление»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Ответчик провел построчную сверку расчета истца и установил, что платеж от 28 мая 2025 года на 300 000 руб. не учтен, а на товар стоимостью 620 000 руб. своевременно составлен акт о недостатках. Эти обстоятельства не означают автоматического отсутствия долга, но требуют определить действительное сальдо и проверить соразмерность дополнительных начислений.</w:t>
      </w:r>
    </w:p>
    <w:p>
      <w:pPr>
        <w:keepNext w:val="0"/>
        <w:spacing w:before="0" w:after="80" w:line="276" w:lineRule="auto"/>
        <w:ind w:firstLine="709"/>
        <w:jc w:val="both"/>
      </w:pPr>
      <w:r>
        <w:rPr>
          <w:rFonts w:ascii="Times New Roman" w:hAnsi="Times New Roman" w:eastAsia="Times New Roman"/>
          <w:b w:val="0"/>
          <w:i w:val="0"/>
          <w:sz w:val="24"/>
        </w:rPr>
        <w:t>Возражения строятся не по принципу полного отрицания, а по каждому юридически значимому обстоятельству: возникновение обязательства, объем исполнения истца, встречное исполнение ответчика, наступление срока, наличие просрочки и размер последствий. Неоспариваемые факты прямо отделяются от спорных.</w:t>
      </w:r>
    </w:p>
    <w:p>
      <w:pPr>
        <w:keepNext w:val="0"/>
        <w:spacing w:before="0" w:after="80" w:line="276" w:lineRule="auto"/>
        <w:ind w:firstLine="709"/>
        <w:jc w:val="both"/>
      </w:pPr>
      <w:r>
        <w:rPr>
          <w:rFonts w:ascii="Times New Roman" w:hAnsi="Times New Roman" w:eastAsia="Times New Roman"/>
          <w:b w:val="0"/>
          <w:i w:val="0"/>
          <w:sz w:val="24"/>
        </w:rPr>
        <w:t>После первоначального отзыва истец представил новые УПД и уточненный расчет. Ответчик получил их 8 июля 2026 года, провел сверку и выявил повторное включение одной партии и неучтенный платеж.</w:t>
      </w:r>
    </w:p>
    <w:p>
      <w:pPr>
        <w:keepNext w:val="0"/>
        <w:spacing w:before="0" w:after="80" w:line="276" w:lineRule="auto"/>
        <w:ind w:firstLine="709"/>
        <w:jc w:val="both"/>
      </w:pPr>
      <w:r>
        <w:rPr>
          <w:rFonts w:ascii="Times New Roman" w:hAnsi="Times New Roman" w:eastAsia="Times New Roman"/>
          <w:b w:val="0"/>
          <w:i w:val="0"/>
          <w:sz w:val="24"/>
        </w:rPr>
        <w:t>Дополнительный отзыв ограничен новыми материалами, не повторяет ранее изложенную позицию и содержит построчный контррасчет.</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35, 56 и 57 ГПК РФ регулируют права участников, бремя доказывания и содействие суда.</w:t>
      </w:r>
    </w:p>
    <w:p>
      <w:pPr>
        <w:keepNext w:val="0"/>
        <w:spacing w:before="0" w:after="80" w:line="276" w:lineRule="auto"/>
        <w:ind w:firstLine="709"/>
        <w:jc w:val="both"/>
      </w:pPr>
      <w:r>
        <w:rPr>
          <w:rFonts w:ascii="Times New Roman" w:hAnsi="Times New Roman" w:eastAsia="Times New Roman"/>
          <w:b w:val="0"/>
          <w:i w:val="0"/>
          <w:sz w:val="24"/>
        </w:rPr>
        <w:t>Распорядительные заявления о признании иска проверяются судом на соответствие закону и отсутствие нарушения прав других лиц.</w:t>
      </w:r>
    </w:p>
    <w:p>
      <w:pPr>
        <w:keepNext w:val="0"/>
        <w:spacing w:before="0" w:after="80" w:line="276" w:lineRule="auto"/>
        <w:ind w:firstLine="709"/>
        <w:jc w:val="both"/>
      </w:pPr>
      <w:r>
        <w:rPr>
          <w:rFonts w:ascii="Times New Roman" w:hAnsi="Times New Roman" w:eastAsia="Times New Roman"/>
          <w:b w:val="0"/>
          <w:i w:val="0"/>
          <w:sz w:val="24"/>
        </w:rPr>
        <w:t>Заявление о давности делается стороной до вынесения решения и сопровождается расчетом течения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 22–24, 28, 131–132 и 137–138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отзыв / пояснения и приложения к материалам дела.</w:t>
      </w:r>
    </w:p>
    <w:p>
      <w:pPr>
        <w:spacing w:after="60" w:line="276" w:lineRule="auto"/>
        <w:ind w:left="454" w:hanging="454"/>
        <w:jc w:val="both"/>
      </w:pPr>
      <w:r>
        <w:rPr>
          <w:rFonts w:ascii="Times New Roman" w:hAnsi="Times New Roman" w:eastAsia="Times New Roman"/>
          <w:b w:val="0"/>
          <w:i w:val="0"/>
          <w:sz w:val="24"/>
        </w:rPr>
        <w:t>2. Отказать в иске полностью / в оспариваемой части с учетом контррасчета.</w:t>
      </w:r>
    </w:p>
    <w:p>
      <w:pPr>
        <w:spacing w:after="60" w:line="276" w:lineRule="auto"/>
        <w:ind w:left="454" w:hanging="454"/>
        <w:jc w:val="both"/>
      </w:pPr>
      <w:r>
        <w:rPr>
          <w:rFonts w:ascii="Times New Roman" w:hAnsi="Times New Roman" w:eastAsia="Times New Roman"/>
          <w:b w:val="0"/>
          <w:i w:val="0"/>
          <w:sz w:val="24"/>
        </w:rPr>
        <w:t>3. Взыскать в пользу ответчика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искового заявления и уточнений.</w:t>
      </w:r>
    </w:p>
    <w:p>
      <w:pPr>
        <w:spacing w:after="60" w:line="276" w:lineRule="auto"/>
        <w:ind w:left="454" w:hanging="454"/>
        <w:jc w:val="both"/>
      </w:pPr>
      <w:r>
        <w:rPr>
          <w:rFonts w:ascii="Times New Roman" w:hAnsi="Times New Roman" w:eastAsia="Times New Roman"/>
          <w:b w:val="0"/>
          <w:i w:val="0"/>
          <w:sz w:val="24"/>
        </w:rPr>
        <w:t>2. Контррасчет с учетом платежей и встречного исполнения.</w:t>
      </w:r>
    </w:p>
    <w:p>
      <w:pPr>
        <w:spacing w:after="60" w:line="276" w:lineRule="auto"/>
        <w:ind w:left="454" w:hanging="454"/>
        <w:jc w:val="both"/>
      </w:pPr>
      <w:r>
        <w:rPr>
          <w:rFonts w:ascii="Times New Roman" w:hAnsi="Times New Roman" w:eastAsia="Times New Roman"/>
          <w:b w:val="0"/>
          <w:i w:val="0"/>
          <w:sz w:val="24"/>
        </w:rPr>
        <w:t>3. Первичные документы и переписка, подтверждающие возражения.</w:t>
      </w:r>
    </w:p>
    <w:p>
      <w:pPr>
        <w:spacing w:after="60" w:line="276" w:lineRule="auto"/>
        <w:ind w:left="454" w:hanging="454"/>
        <w:jc w:val="both"/>
      </w:pPr>
      <w:r>
        <w:rPr>
          <w:rFonts w:ascii="Times New Roman" w:hAnsi="Times New Roman" w:eastAsia="Times New Roman"/>
          <w:b w:val="0"/>
          <w:i w:val="0"/>
          <w:sz w:val="24"/>
        </w:rPr>
        <w:t>4. Документы о сроках, процессуальном статусе или правопреемстве — по предмету заявления.</w:t>
      </w:r>
    </w:p>
    <w:p>
      <w:pPr>
        <w:spacing w:after="60" w:line="276" w:lineRule="auto"/>
        <w:ind w:left="454" w:hanging="454"/>
        <w:jc w:val="both"/>
      </w:pPr>
      <w:r>
        <w:rPr>
          <w:rFonts w:ascii="Times New Roman" w:hAnsi="Times New Roman" w:eastAsia="Times New Roman"/>
          <w:b w:val="0"/>
          <w:i w:val="0"/>
          <w:sz w:val="24"/>
        </w:rPr>
        <w:t>5.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6.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Дополнительный отзыв на исковое заявление</dc:title>
  <dc:subject>Подробный образец № 33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