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РАССРОЧКЕ, УМЕНЬШЕНИИ ГОСУДАРСТВЕННОЙ ПОШЛИНЫ ИЛИ ОСВОБОЖДЕНИИ ОТ ЕЁ УПЛАТЫ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рассрочке, уменьшении государственной пошлины или освобождении от её уплаты»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Заявитель раскрывает имущественное положение, доходы, обязательные расходы и отсутствие ликвидных активов. Просимый график состоит из конкретных платежей и не создает неопределенности для исполнения обязанности.</w:t>
      </w:r>
    </w:p>
    <w:p>
      <w:pPr>
        <w:keepNext w:val="0"/>
        <w:spacing w:before="0" w:after="80" w:line="276" w:lineRule="auto"/>
        <w:ind w:firstLine="709"/>
        <w:jc w:val="both"/>
      </w:pPr>
      <w:r>
        <w:rPr>
          <w:rFonts w:ascii="Times New Roman" w:hAnsi="Times New Roman" w:eastAsia="Times New Roman"/>
          <w:b w:val="0"/>
          <w:i w:val="0"/>
          <w:sz w:val="24"/>
        </w:rPr>
        <w:t>Если заявляется уменьшение или освобождение, приводятся предусмотренные законом основания и документы, а не только ссылка на затруднительное финансовое положение.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Предоставить отсрочку / рассрочку / уменьшить пошлину до [сумма].</w:t>
      </w:r>
    </w:p>
    <w:p>
      <w:pPr>
        <w:spacing w:after="60" w:line="276" w:lineRule="auto"/>
        <w:ind w:left="454" w:hanging="454"/>
        <w:jc w:val="both"/>
      </w:pPr>
      <w:r>
        <w:rPr>
          <w:rFonts w:ascii="Times New Roman" w:hAnsi="Times New Roman" w:eastAsia="Times New Roman"/>
          <w:b w:val="0"/>
          <w:i w:val="0"/>
          <w:sz w:val="24"/>
        </w:rPr>
        <w:t>2. Принять заявление к производству.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рассрочке, уменьшении государственной пошлины или освобождении от её уплаты</dc:title>
  <dc:subject>Подробный образец № 30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