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ПРЕТЕНЗИЯ О ВЫПЛАТЕ ДОГОВОРНОЙ НЕУСТОЙКИ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Расчет неустойки должен содержать договорное условие, базу начисления, ставку, начальную и конечную даты, частичные платежи и установленный договором предел.</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 статьи 330–333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Уплатить договорную неустойку за период [даты] в размере [сумма] руб. по приложенному расчету.</w:t>
      </w:r>
    </w:p>
    <w:p>
      <w:pPr>
        <w:spacing w:after="60" w:line="276" w:lineRule="auto"/>
        <w:ind w:left="454" w:hanging="454"/>
        <w:jc w:val="both"/>
      </w:pPr>
      <w:r>
        <w:rPr>
          <w:rFonts w:ascii="Times New Roman" w:hAnsi="Times New Roman" w:eastAsia="Times New Roman"/>
          <w:b w:val="0"/>
          <w:i w:val="0"/>
          <w:sz w:val="24"/>
        </w:rPr>
        <w:t>2. Представить мотивированный контррасчет при несогласии.</w:t>
      </w:r>
    </w:p>
    <w:p>
      <w:pPr>
        <w:spacing w:after="60" w:line="276" w:lineRule="auto"/>
        <w:ind w:left="454" w:hanging="454"/>
        <w:jc w:val="both"/>
      </w:pPr>
      <w:r>
        <w:rPr>
          <w:rFonts w:ascii="Times New Roman" w:hAnsi="Times New Roman" w:eastAsia="Times New Roman"/>
          <w:b w:val="0"/>
          <w:i w:val="0"/>
          <w:sz w:val="24"/>
        </w:rPr>
        <w:t>3. Исполнить требование в течение [срок] с даты получения претензии.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Претензия о выплате договорной неустойки</dc:title>
  <dc:subject>Подробный образец № 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