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[наименование районного суда]</w:t>
        <w:br/>
      </w:r>
      <w:r>
        <w:rPr>
          <w:rFonts w:ascii="Times New Roman" w:hAnsi="Times New Roman" w:eastAsia="Times New Roman"/>
          <w:b w:val="0"/>
          <w:i w:val="0"/>
          <w:sz w:val="21"/>
        </w:rPr>
        <w:t>Истец / заявитель: [ФИО, адрес, идентификатор]</w:t>
        <w:br/>
      </w:r>
      <w:r>
        <w:rPr>
          <w:rFonts w:ascii="Times New Roman" w:hAnsi="Times New Roman" w:eastAsia="Times New Roman"/>
          <w:b w:val="0"/>
          <w:i w:val="0"/>
          <w:sz w:val="21"/>
        </w:rPr>
        <w:t>Ответчик: [ФИО / наименование,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ХОДАТАЙСТВО ОБ ОТСРОЧКЕ УПЛАТЫ ГОСУДАРСТВЕННОЙ ПОШЛИНЫ</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В основе спора лежит договор поставки № 15/П-2025. Истец передал товар на 2 480 000 руб., ответчик оплатил только 980 000 руб.; долг 1 500 000 руб.</w:t>
      </w:r>
    </w:p>
    <w:p>
      <w:pPr>
        <w:keepNext w:val="0"/>
        <w:spacing w:before="0" w:after="80" w:line="276" w:lineRule="auto"/>
        <w:ind w:firstLine="709"/>
        <w:jc w:val="both"/>
      </w:pPr>
      <w:r>
        <w:rPr>
          <w:rFonts w:ascii="Times New Roman" w:hAnsi="Times New Roman" w:eastAsia="Times New Roman"/>
          <w:b w:val="0"/>
          <w:i w:val="0"/>
          <w:sz w:val="24"/>
        </w:rPr>
        <w:t>Претензия от 10 июля 2025 года получена 15 июля 2025 года. В предусмотренный договором срок долг не погашен, мотивированный ответ и контррасчет не представлены.</w:t>
      </w:r>
    </w:p>
    <w:p>
      <w:pPr>
        <w:keepNext w:val="0"/>
        <w:spacing w:before="0" w:after="80" w:line="276" w:lineRule="auto"/>
        <w:ind w:firstLine="709"/>
        <w:jc w:val="both"/>
      </w:pPr>
      <w:r>
        <w:rPr>
          <w:rFonts w:ascii="Times New Roman" w:hAnsi="Times New Roman" w:eastAsia="Times New Roman"/>
          <w:b w:val="0"/>
          <w:i w:val="0"/>
          <w:sz w:val="24"/>
        </w:rPr>
        <w:t>До обращения проверены подсудность, срок исковой давности, цена иска, государственная пошлина, полномочия и направление копий участникам.</w:t>
      </w:r>
    </w:p>
    <w:p>
      <w:pPr>
        <w:keepNext w:val="0"/>
        <w:spacing w:before="0" w:after="80" w:line="276" w:lineRule="auto"/>
        <w:ind w:firstLine="709"/>
        <w:jc w:val="both"/>
      </w:pPr>
      <w:r>
        <w:rPr>
          <w:rFonts w:ascii="Times New Roman" w:hAnsi="Times New Roman" w:eastAsia="Times New Roman"/>
          <w:b w:val="0"/>
          <w:i w:val="0"/>
          <w:sz w:val="24"/>
        </w:rPr>
        <w:t>Для документа «Ходатайство об отсрочке уплаты государственной пошлины» необходимо раскрыть именно те факты, которые образуют предусмотренное законом основание этого процессуального действия, и подтвердить их приложениями.</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 обращения в суд истец проверил, имеется ли вступивший в силу судебный акт по тождественному спору, соглашение о подсудности или третейская оговорка, а также не возбуждено ли дело о банкротстве, влияющее на порядок предъявления требования. В иске отдельно раскрывается, почему спор относится именно к выбранному суду.</w:t>
      </w:r>
    </w:p>
    <w:p>
      <w:pPr>
        <w:keepNext w:val="0"/>
        <w:spacing w:before="0" w:after="80" w:line="276" w:lineRule="auto"/>
        <w:ind w:firstLine="709"/>
        <w:jc w:val="both"/>
      </w:pPr>
      <w:r>
        <w:rPr>
          <w:rFonts w:ascii="Times New Roman" w:hAnsi="Times New Roman" w:eastAsia="Times New Roman"/>
          <w:b w:val="0"/>
          <w:i w:val="0"/>
          <w:sz w:val="24"/>
        </w:rPr>
        <w:t>Цена иска формируется из самостоятельных элементов: основной долг, договорная неустойка, проценты, убытки и иные суммы. Каждый элемент имеет отдельное основание и расчет; судебные расходы в цену иска не включаются, если закон не предусматривает иное.</w:t>
      </w:r>
    </w:p>
    <w:p>
      <w:pPr>
        <w:keepNext w:val="0"/>
        <w:spacing w:before="0" w:after="80" w:line="276" w:lineRule="auto"/>
        <w:ind w:firstLine="709"/>
        <w:jc w:val="both"/>
      </w:pPr>
      <w:r>
        <w:rPr>
          <w:rFonts w:ascii="Times New Roman" w:hAnsi="Times New Roman" w:eastAsia="Times New Roman"/>
          <w:b w:val="0"/>
          <w:i w:val="0"/>
          <w:sz w:val="24"/>
        </w:rPr>
        <w:t>Истец временно не располагает суммой пошлины из-за ареста расчетного счета и значительного объема обязательных выплат. На счетах отсутствуют свободные средства, что подтверждено свежими банковскими выписками и справками налогового органа.</w:t>
      </w:r>
    </w:p>
    <w:p>
      <w:pPr>
        <w:keepNext w:val="0"/>
        <w:spacing w:before="0" w:after="80" w:line="276" w:lineRule="auto"/>
        <w:ind w:firstLine="709"/>
        <w:jc w:val="both"/>
      </w:pPr>
      <w:r>
        <w:rPr>
          <w:rFonts w:ascii="Times New Roman" w:hAnsi="Times New Roman" w:eastAsia="Times New Roman"/>
          <w:b w:val="0"/>
          <w:i w:val="0"/>
          <w:sz w:val="24"/>
        </w:rPr>
        <w:t>Истец просит отсрочить уплату до конкретной даты либо до принятия решения, а не освободить его от расходов вообще. Прогноз поступлений и финансовая отчетность подтверждают реальность последующей оплаты.</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3, 22–24, 28, 131 и 132 ГПК РФ регулируют право на обращение, подсудность,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88, 94, 98, 100 и 103.1 ГПК РФ, глава 25.3 НК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Предоставить отсрочку / рассрочку / уменьшить пошлину до [сумма].</w:t>
      </w:r>
    </w:p>
    <w:p>
      <w:pPr>
        <w:spacing w:after="60" w:line="276" w:lineRule="auto"/>
        <w:ind w:left="454" w:hanging="454"/>
        <w:jc w:val="both"/>
      </w:pPr>
      <w:r>
        <w:rPr>
          <w:rFonts w:ascii="Times New Roman" w:hAnsi="Times New Roman" w:eastAsia="Times New Roman"/>
          <w:b w:val="0"/>
          <w:i w:val="0"/>
          <w:sz w:val="24"/>
        </w:rPr>
        <w:t>2. Принять заявление к производству.</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Ходатайство об отсрочке уплаты государственной пошлины</dc:title>
  <dc:subject>Подробный образец № 29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