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ПЕРЕДАЧЕ ДЕЛА ПО ПОДСУДНОСТИ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передаче дела по подсудности»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Из договора и выписки ЕГРЮЛ следует, что ответчик находится в другом регионе, а соглашение о договорной подсудности отсутствует. Иск ошибочно принят судом, которому спор территориально не подсуден.</w:t>
      </w:r>
    </w:p>
    <w:p>
      <w:pPr>
        <w:keepNext w:val="0"/>
        <w:spacing w:before="0" w:after="80" w:line="276" w:lineRule="auto"/>
        <w:ind w:firstLine="709"/>
        <w:jc w:val="both"/>
      </w:pPr>
      <w:r>
        <w:rPr>
          <w:rFonts w:ascii="Times New Roman" w:hAnsi="Times New Roman" w:eastAsia="Times New Roman"/>
          <w:b w:val="0"/>
          <w:i w:val="0"/>
          <w:sz w:val="24"/>
        </w:rPr>
        <w:t>Заявитель указывает конкретный компетентный суд и подтверждает обстоятельства, определяющие подсудность. Просьба не основана лишь на удобстве стороны.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Передать дело в [компетентный суд] либо отказать в передаче — согласно позиции документа.</w:t>
      </w:r>
    </w:p>
    <w:p>
      <w:pPr>
        <w:spacing w:after="60" w:line="276" w:lineRule="auto"/>
        <w:ind w:left="454" w:hanging="454"/>
        <w:jc w:val="both"/>
      </w:pPr>
      <w:r>
        <w:rPr>
          <w:rFonts w:ascii="Times New Roman" w:hAnsi="Times New Roman" w:eastAsia="Times New Roman"/>
          <w:b w:val="0"/>
          <w:i w:val="0"/>
          <w:sz w:val="24"/>
        </w:rPr>
        <w:t>2. Направить материалы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передаче дела по подсудности</dc:title>
  <dc:subject>Подробный образец № 27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