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УСТРАНЕНИИ ОБСТОЯТЕЛЬСТВ, ПОСЛУЖИВШИХ ОСНОВАНИЕМ ДЛЯ ОСТАВЛЕНИЯ ИСКА БЕЗ ДВИЖЕНИЯ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устранении обстоятельств, послуживших основанием для оставления иска без движения»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Определением от 10 июля 2026 года заявление оставлено без движения из-за отсутствия доказательства направления копии ответчику, расчета цены и документа о пошлине. Определение получено через электронную систему в тот же день.</w:t>
      </w:r>
    </w:p>
    <w:p>
      <w:pPr>
        <w:keepNext w:val="0"/>
        <w:spacing w:before="0" w:after="80" w:line="276" w:lineRule="auto"/>
        <w:ind w:firstLine="709"/>
        <w:jc w:val="both"/>
      </w:pPr>
      <w:r>
        <w:rPr>
          <w:rFonts w:ascii="Times New Roman" w:hAnsi="Times New Roman" w:eastAsia="Times New Roman"/>
          <w:b w:val="0"/>
          <w:i w:val="0"/>
          <w:sz w:val="24"/>
        </w:rPr>
        <w:t>Недостатки устранены в установленный срок: приложены опись вложения и отчет доставки, подписанный расчет и платежное поручение. Заявитель просит считать датой подачи первоначальную дату поступления иска.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устранении обстоятельств, послуживших основанием для оставления иска без движения</dc:title>
  <dc:subject>Подробный образец № 26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