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УВЕЛИЧЕНИИ РАЗМЕРА ИСКОВЫХ ТРЕБОВАНИЙ</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увеличении размера исковых требований»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На дату подачи иска неустойка была рассчитана по 30 апреля 2026 года. К заседанию 20 июля 2026 года долг не погашен, поэтому размер начисления увеличился на последующий период, а основной долг остался неизменным.</w:t>
      </w:r>
    </w:p>
    <w:p>
      <w:pPr>
        <w:keepNext w:val="0"/>
        <w:spacing w:before="0" w:after="80" w:line="276" w:lineRule="auto"/>
        <w:ind w:firstLine="709"/>
        <w:jc w:val="both"/>
      </w:pPr>
      <w:r>
        <w:rPr>
          <w:rFonts w:ascii="Times New Roman" w:hAnsi="Times New Roman" w:eastAsia="Times New Roman"/>
          <w:b w:val="0"/>
          <w:i w:val="0"/>
          <w:sz w:val="24"/>
        </w:rPr>
        <w:t>К заявлению приложен новый построчный расчет с прежней начальной датой, частичными платежами и предельным размером, а также документ о доплате пошлины, если она требуется.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заявленное изменение исковых требований.</w:t>
      </w:r>
    </w:p>
    <w:p>
      <w:pPr>
        <w:spacing w:after="60" w:line="276" w:lineRule="auto"/>
        <w:ind w:left="454" w:hanging="454"/>
        <w:jc w:val="both"/>
      </w:pPr>
      <w:r>
        <w:rPr>
          <w:rFonts w:ascii="Times New Roman" w:hAnsi="Times New Roman" w:eastAsia="Times New Roman"/>
          <w:b w:val="0"/>
          <w:i w:val="0"/>
          <w:sz w:val="24"/>
        </w:rPr>
        <w:t>2. Рассматривать дело с учетом уточненной просительной части и расчета.</w:t>
      </w:r>
    </w:p>
    <w:p>
      <w:pPr>
        <w:spacing w:after="60" w:line="276" w:lineRule="auto"/>
        <w:ind w:left="454" w:hanging="454"/>
        <w:jc w:val="both"/>
      </w:pPr>
      <w:r>
        <w:rPr>
          <w:rFonts w:ascii="Times New Roman" w:hAnsi="Times New Roman" w:eastAsia="Times New Roman"/>
          <w:b w:val="0"/>
          <w:i w:val="0"/>
          <w:sz w:val="24"/>
        </w:rPr>
        <w:t>3. Предоставить оппоненту возможность представить возражения.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увеличении размера исковых требований</dc:title>
  <dc:subject>Подробный образец № 23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