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ОБ ИЗМЕНЕНИИ ОСНОВАНИЯ ИСКА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основе спора лежит договор поставки № 15/П-2025. Истец передал товар на 2 480 000 руб., ответчик оплатил только 980 000 руб.; долг 1 500 000 руб.</w:t>
      </w:r>
    </w:p>
    <w:p>
      <w:pPr>
        <w:keepNext w:val="0"/>
        <w:spacing w:before="0" w:after="80" w:line="276" w:lineRule="auto"/>
        <w:ind w:firstLine="709"/>
        <w:jc w:val="both"/>
      </w:pPr>
      <w:r>
        <w:rPr>
          <w:rFonts w:ascii="Times New Roman" w:hAnsi="Times New Roman" w:eastAsia="Times New Roman"/>
          <w:b w:val="0"/>
          <w:i w:val="0"/>
          <w:sz w:val="24"/>
        </w:rPr>
        <w:t>Претензия от 10 июля 2025 года получена 15 июля 2025 года. В предусмотренный договором срок долг не погашен, мотивированный ответ и контррасчет не представлены.</w:t>
      </w:r>
    </w:p>
    <w:p>
      <w:pPr>
        <w:keepNext w:val="0"/>
        <w:spacing w:before="0" w:after="80" w:line="276" w:lineRule="auto"/>
        <w:ind w:firstLine="709"/>
        <w:jc w:val="both"/>
      </w:pPr>
      <w:r>
        <w:rPr>
          <w:rFonts w:ascii="Times New Roman" w:hAnsi="Times New Roman" w:eastAsia="Times New Roman"/>
          <w:b w:val="0"/>
          <w:i w:val="0"/>
          <w:sz w:val="24"/>
        </w:rPr>
        <w:t>До обращения проверены подсудность, срок исковой давности, цена иска, государственная пошлина, полномочия и направление копий участникам.</w:t>
      </w:r>
    </w:p>
    <w:p>
      <w:pPr>
        <w:keepNext w:val="0"/>
        <w:spacing w:before="0" w:after="80" w:line="276" w:lineRule="auto"/>
        <w:ind w:firstLine="709"/>
        <w:jc w:val="both"/>
      </w:pPr>
      <w:r>
        <w:rPr>
          <w:rFonts w:ascii="Times New Roman" w:hAnsi="Times New Roman" w:eastAsia="Times New Roman"/>
          <w:b w:val="0"/>
          <w:i w:val="0"/>
          <w:sz w:val="24"/>
        </w:rPr>
        <w:t>Предмет требования сохраняется, но уточняются фактические обстоятельства, на которых оно основано; новая правовая квалификация сама по себе не всегда означает изменение основания.</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До обращения в суд истец проверил, имеется ли вступивший в силу судебный акт по тождественному спору, соглашение о подсудности или третейская оговорка, а также не возбуждено ли дело о банкротстве, влияющее на порядок предъявления требования. В иске отдельно раскрывается, почему спор относится именно к выбранному суду.</w:t>
      </w:r>
    </w:p>
    <w:p>
      <w:pPr>
        <w:keepNext w:val="0"/>
        <w:spacing w:before="0" w:after="80" w:line="276" w:lineRule="auto"/>
        <w:ind w:firstLine="709"/>
        <w:jc w:val="both"/>
      </w:pPr>
      <w:r>
        <w:rPr>
          <w:rFonts w:ascii="Times New Roman" w:hAnsi="Times New Roman" w:eastAsia="Times New Roman"/>
          <w:b w:val="0"/>
          <w:i w:val="0"/>
          <w:sz w:val="24"/>
        </w:rPr>
        <w:t>Цена иска формируется из самостоятельных элементов: основной долг, договорная неустойка, проценты, убытки и иные суммы. Каждый элемент имеет отдельное основание и расчет; судебные расходы в цену иска не включаются, если закон не предусматривает иное.</w:t>
      </w:r>
    </w:p>
    <w:p>
      <w:pPr>
        <w:keepNext w:val="0"/>
        <w:spacing w:before="0" w:after="80" w:line="276" w:lineRule="auto"/>
        <w:ind w:firstLine="709"/>
        <w:jc w:val="both"/>
      </w:pPr>
      <w:r>
        <w:rPr>
          <w:rFonts w:ascii="Times New Roman" w:hAnsi="Times New Roman" w:eastAsia="Times New Roman"/>
          <w:b w:val="0"/>
          <w:i w:val="0"/>
          <w:sz w:val="24"/>
        </w:rPr>
        <w:t>Требование о взыскании 1 500 000 руб. сохраняется, однако после истребования банковских документов уточнено, что задолженность возникла не из неоплаченной второй партии, а из возврата ошибочно зачтенного платежа по первой партии.</w:t>
      </w:r>
    </w:p>
    <w:p>
      <w:pPr>
        <w:keepNext w:val="0"/>
        <w:spacing w:before="0" w:after="80" w:line="276" w:lineRule="auto"/>
        <w:ind w:firstLine="709"/>
        <w:jc w:val="both"/>
      </w:pPr>
      <w:r>
        <w:rPr>
          <w:rFonts w:ascii="Times New Roman" w:hAnsi="Times New Roman" w:eastAsia="Times New Roman"/>
          <w:b w:val="0"/>
          <w:i w:val="0"/>
          <w:sz w:val="24"/>
        </w:rPr>
        <w:t>Истец приводит новую фактическую последовательность и приложения, не изменяя сам способ защиты. Документ объясняет, почему уточнение не образует полностью новый иск.</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 22–24, 28, 131 и 132 ГПК РФ регулируют право на обращение, подсудность, форму и приложения к иску.</w:t>
      </w:r>
    </w:p>
    <w:p>
      <w:pPr>
        <w:keepNext w:val="0"/>
        <w:spacing w:before="0" w:after="80" w:line="276" w:lineRule="auto"/>
        <w:ind w:firstLine="709"/>
        <w:jc w:val="both"/>
      </w:pPr>
      <w:r>
        <w:rPr>
          <w:rFonts w:ascii="Times New Roman" w:hAnsi="Times New Roman" w:eastAsia="Times New Roman"/>
          <w:b w:val="0"/>
          <w:i w:val="0"/>
          <w:sz w:val="24"/>
        </w:rPr>
        <w:t>Статьи 309, 310, 314 и специальные нормы соответствующего договора ГК РФ определяют материально-правовые условия требований.</w:t>
      </w:r>
    </w:p>
    <w:p>
      <w:pPr>
        <w:keepNext w:val="0"/>
        <w:spacing w:before="0" w:after="80" w:line="276" w:lineRule="auto"/>
        <w:ind w:firstLine="709"/>
        <w:jc w:val="both"/>
      </w:pPr>
      <w:r>
        <w:rPr>
          <w:rFonts w:ascii="Times New Roman" w:hAnsi="Times New Roman" w:eastAsia="Times New Roman"/>
          <w:b w:val="0"/>
          <w:i w:val="0"/>
          <w:sz w:val="24"/>
        </w:rPr>
        <w:t>Глава 25.3 НК РФ регулирует государственную пошлину; ее размер и льготы проверяются на дату подачи.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Принять заявленное изменение исковых требований.</w:t>
      </w:r>
    </w:p>
    <w:p>
      <w:pPr>
        <w:spacing w:after="60" w:line="276" w:lineRule="auto"/>
        <w:ind w:left="454" w:hanging="454"/>
        <w:jc w:val="both"/>
      </w:pPr>
      <w:r>
        <w:rPr>
          <w:rFonts w:ascii="Times New Roman" w:hAnsi="Times New Roman" w:eastAsia="Times New Roman"/>
          <w:b w:val="0"/>
          <w:i w:val="0"/>
          <w:sz w:val="24"/>
        </w:rPr>
        <w:t>2. Рассматривать дело с учетом уточненной просительной части и расчета.</w:t>
      </w:r>
    </w:p>
    <w:p>
      <w:pPr>
        <w:spacing w:after="60" w:line="276" w:lineRule="auto"/>
        <w:ind w:left="454" w:hanging="454"/>
        <w:jc w:val="both"/>
      </w:pPr>
      <w:r>
        <w:rPr>
          <w:rFonts w:ascii="Times New Roman" w:hAnsi="Times New Roman" w:eastAsia="Times New Roman"/>
          <w:b w:val="0"/>
          <w:i w:val="0"/>
          <w:sz w:val="24"/>
        </w:rPr>
        <w:t>3. Предоставить оппоненту возможность представить возражения.</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Договор, приложения и дополнительные соглашения.</w:t>
      </w:r>
    </w:p>
    <w:p>
      <w:pPr>
        <w:spacing w:after="60" w:line="276" w:lineRule="auto"/>
        <w:ind w:left="454" w:hanging="454"/>
        <w:jc w:val="both"/>
      </w:pPr>
      <w:r>
        <w:rPr>
          <w:rFonts w:ascii="Times New Roman" w:hAnsi="Times New Roman" w:eastAsia="Times New Roman"/>
          <w:b w:val="0"/>
          <w:i w:val="0"/>
          <w:sz w:val="24"/>
        </w:rPr>
        <w:t>2. Первичные документы об исполнении: акты, УПД, накладные, платежные поручения.</w:t>
      </w:r>
    </w:p>
    <w:p>
      <w:pPr>
        <w:spacing w:after="60" w:line="276" w:lineRule="auto"/>
        <w:ind w:left="454" w:hanging="454"/>
        <w:jc w:val="both"/>
      </w:pPr>
      <w:r>
        <w:rPr>
          <w:rFonts w:ascii="Times New Roman" w:hAnsi="Times New Roman" w:eastAsia="Times New Roman"/>
          <w:b w:val="0"/>
          <w:i w:val="0"/>
          <w:sz w:val="24"/>
        </w:rPr>
        <w:t>3. Претензия и доказательства соблюдения досудебного порядка.</w:t>
      </w:r>
    </w:p>
    <w:p>
      <w:pPr>
        <w:spacing w:after="60" w:line="276" w:lineRule="auto"/>
        <w:ind w:left="454" w:hanging="454"/>
        <w:jc w:val="both"/>
      </w:pPr>
      <w:r>
        <w:rPr>
          <w:rFonts w:ascii="Times New Roman" w:hAnsi="Times New Roman" w:eastAsia="Times New Roman"/>
          <w:b w:val="0"/>
          <w:i w:val="0"/>
          <w:sz w:val="24"/>
        </w:rPr>
        <w:t>4. Подробный расчет цены иска и начислений.</w:t>
      </w:r>
    </w:p>
    <w:p>
      <w:pPr>
        <w:spacing w:after="60" w:line="276" w:lineRule="auto"/>
        <w:ind w:left="454" w:hanging="454"/>
        <w:jc w:val="both"/>
      </w:pPr>
      <w:r>
        <w:rPr>
          <w:rFonts w:ascii="Times New Roman" w:hAnsi="Times New Roman" w:eastAsia="Times New Roman"/>
          <w:b w:val="0"/>
          <w:i w:val="0"/>
          <w:sz w:val="24"/>
        </w:rPr>
        <w:t>5. Документ об уплате государственной пошлины / льготе.</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иска и приложений участникам.</w:t>
      </w:r>
    </w:p>
    <w:p>
      <w:pPr>
        <w:spacing w:after="60" w:line="276" w:lineRule="auto"/>
        <w:ind w:left="454" w:hanging="454"/>
        <w:jc w:val="both"/>
      </w:pPr>
      <w:r>
        <w:rPr>
          <w:rFonts w:ascii="Times New Roman" w:hAnsi="Times New Roman" w:eastAsia="Times New Roman"/>
          <w:b w:val="0"/>
          <w:i w:val="0"/>
          <w:sz w:val="24"/>
        </w:rPr>
        <w:t>7. Выписки / документы о статусе и адресах сторон.</w:t>
      </w:r>
    </w:p>
    <w:p>
      <w:pPr>
        <w:spacing w:after="60" w:line="276" w:lineRule="auto"/>
        <w:ind w:left="454" w:hanging="454"/>
        <w:jc w:val="both"/>
      </w:pPr>
      <w:r>
        <w:rPr>
          <w:rFonts w:ascii="Times New Roman" w:hAnsi="Times New Roman" w:eastAsia="Times New Roman"/>
          <w:b w:val="0"/>
          <w:i w:val="0"/>
          <w:sz w:val="24"/>
        </w:rPr>
        <w:t>8. Доверенность и документы о полномочиях подписанта.</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об изменении основания иска</dc:title>
  <dc:subject>Подробный образец № 22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