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ПРОЦЕНТОВ ПО СТАТЬЕ 395 ГК РФ</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о взыскании процентов по статье 395 ГК РФ»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Основной долг 1 500 000 руб. оставался непогашенным с 17 апреля 2025 года. Проценты рассчитаны по ключевой ставке Банка России, действовавшей в соответствующие периоды, с уменьшением базы после каждого частичного платежа.</w:t>
      </w:r>
    </w:p>
    <w:p>
      <w:pPr>
        <w:keepNext w:val="0"/>
        <w:spacing w:before="0" w:after="80" w:line="276" w:lineRule="auto"/>
        <w:ind w:firstLine="709"/>
        <w:jc w:val="both"/>
      </w:pPr>
      <w:r>
        <w:rPr>
          <w:rFonts w:ascii="Times New Roman" w:hAnsi="Times New Roman" w:eastAsia="Times New Roman"/>
          <w:b w:val="0"/>
          <w:i w:val="0"/>
          <w:sz w:val="24"/>
        </w:rPr>
        <w:t>Расчет указывает количество календарных дней и источник ставки. Истец проверяет, не предусмотрена ли договором иная мера ответственности, исключающая одновременное начисление процентов за тот же период.</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статья 395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проценты по статье 395 ГК РФ за период [даты] в размере [сумма] руб.</w:t>
      </w:r>
    </w:p>
    <w:p>
      <w:pPr>
        <w:spacing w:after="60" w:line="276" w:lineRule="auto"/>
        <w:ind w:left="454" w:hanging="454"/>
        <w:jc w:val="both"/>
      </w:pPr>
      <w:r>
        <w:rPr>
          <w:rFonts w:ascii="Times New Roman" w:hAnsi="Times New Roman" w:eastAsia="Times New Roman"/>
          <w:b w:val="0"/>
          <w:i w:val="0"/>
          <w:sz w:val="24"/>
        </w:rPr>
        <w:t>2. При наличии оснований продолжить начисление по предусмотренной законом формуле до фактического исполнения.</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процентов по статье 395 ГК РФ</dc:title>
  <dc:subject>Подробный образец № 199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