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НЕОСНОВАТЕЛЬНОГО ОБОГАЩЕНИЯ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Необходимо показать получение или сбережение имущества ответчиком и отсутствие договора, закона либо иного основания удерживать его.</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Истец ошибочно перечислил ответчику 640 000 руб. по реквизитам отмененного счета. Действующего договора или поставки на эту сумму не существовало, что подтверждено сверкой и отсутствием первичных документов.</w:t>
      </w:r>
    </w:p>
    <w:p>
      <w:pPr>
        <w:keepNext w:val="0"/>
        <w:spacing w:before="0" w:after="80" w:line="276" w:lineRule="auto"/>
        <w:ind w:firstLine="709"/>
        <w:jc w:val="both"/>
      </w:pPr>
      <w:r>
        <w:rPr>
          <w:rFonts w:ascii="Times New Roman" w:hAnsi="Times New Roman" w:eastAsia="Times New Roman"/>
          <w:b w:val="0"/>
          <w:i w:val="0"/>
          <w:sz w:val="24"/>
        </w:rPr>
        <w:t>Ответчик получил уведомление об ошибочном платеже, но деньги не возвратил и не указал основание удержания. Истец исключает применение правил о невозвратных платежах и доказывает отсутствие встречного предоставления.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1102–1109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сумму неосновательного обогащения [сумма] руб.</w:t>
      </w:r>
    </w:p>
    <w:p>
      <w:pPr>
        <w:spacing w:after="60" w:line="276" w:lineRule="auto"/>
        <w:ind w:left="454" w:hanging="454"/>
        <w:jc w:val="both"/>
      </w:pPr>
      <w:r>
        <w:rPr>
          <w:rFonts w:ascii="Times New Roman" w:hAnsi="Times New Roman" w:eastAsia="Times New Roman"/>
          <w:b w:val="0"/>
          <w:i w:val="0"/>
          <w:sz w:val="24"/>
        </w:rPr>
        <w:t>2. Взыскать проценты за пользование чужими денежными средствами [сумма] руб.</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неосновательного обогащения</dc:title>
  <dc:subject>Подробный образец № 198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