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ПОДРЯДЧИКА О ВЗЫСКАНИИ СТОИМОСТИ ВЫПОЛНЕННЫХ РАБОТ</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Указываются техническое задание, смета, фактический объем, акты, мотивированный отказ, недостатки и возможность их устранения.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Подрядчик выполнил монтаж вентиляции по техническому заданию на 3 600 000 руб. Работы передавались актами КС-2 и справками КС-3; заказчик использует результат, но подписал только часть актов и оплатил 2 100 000 руб.</w:t>
      </w:r>
    </w:p>
    <w:p>
      <w:pPr>
        <w:keepNext w:val="0"/>
        <w:spacing w:before="0" w:after="80" w:line="276" w:lineRule="auto"/>
        <w:ind w:firstLine="709"/>
        <w:jc w:val="both"/>
      </w:pPr>
      <w:r>
        <w:rPr>
          <w:rFonts w:ascii="Times New Roman" w:hAnsi="Times New Roman" w:eastAsia="Times New Roman"/>
          <w:b w:val="0"/>
          <w:i w:val="0"/>
          <w:sz w:val="24"/>
        </w:rPr>
        <w:t>Мотивированный отказ в срок не направлен. Замечания, заявленные позднее, не препятствуют использованию результата и не подтверждены дефектным актом. Иск учитывает удержание, аванс и стоимость дополнительных работ только при наличии согласования.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702, 711, 720 и 723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стоимость выполненных и принятых работ в размере [сумма] руб.</w:t>
      </w:r>
    </w:p>
    <w:p>
      <w:pPr>
        <w:spacing w:after="60" w:line="276" w:lineRule="auto"/>
        <w:ind w:left="454" w:hanging="454"/>
        <w:jc w:val="both"/>
      </w:pPr>
      <w:r>
        <w:rPr>
          <w:rFonts w:ascii="Times New Roman" w:hAnsi="Times New Roman" w:eastAsia="Times New Roman"/>
          <w:b w:val="0"/>
          <w:i w:val="0"/>
          <w:sz w:val="24"/>
        </w:rPr>
        <w:t>2. Взыскать договорную неустойку / проценты по расчету.</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подрядчика о взыскании стоимости выполненных работ</dc:title>
  <dc:subject>Подробный образец № 192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