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В СВЯЗИ С ПОСТАВКОЙ ТОВАРА НЕНАДЛЕЖАЩЕГО КАЧЕСТВА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Между сторонами заключен соответствующий договор. Заявитель исполнил свою обязанность, но ответчик нарушил срок оплаты, поставки, качество, возврат имущества или денег.</w:t>
      </w:r>
    </w:p>
    <w:p>
      <w:pPr>
        <w:keepNext w:val="0"/>
        <w:spacing w:before="0" w:after="80" w:line="276" w:lineRule="auto"/>
        <w:ind w:firstLine="709"/>
        <w:jc w:val="both"/>
      </w:pPr>
      <w:r>
        <w:rPr>
          <w:rFonts w:ascii="Times New Roman" w:hAnsi="Times New Roman" w:eastAsia="Times New Roman"/>
          <w:b w:val="0"/>
          <w:i w:val="0"/>
          <w:sz w:val="24"/>
        </w:rPr>
        <w:t>Нарушение подтверждается договором, первичными документами, перепиской, претензией и расчетом. Факты изложены по датам и суммам.</w:t>
      </w:r>
    </w:p>
    <w:p>
      <w:pPr>
        <w:keepNext w:val="0"/>
        <w:spacing w:before="0" w:after="80" w:line="276" w:lineRule="auto"/>
        <w:ind w:firstLine="709"/>
        <w:jc w:val="both"/>
      </w:pPr>
      <w:r>
        <w:rPr>
          <w:rFonts w:ascii="Times New Roman" w:hAnsi="Times New Roman" w:eastAsia="Times New Roman"/>
          <w:b w:val="0"/>
          <w:i w:val="0"/>
          <w:sz w:val="24"/>
        </w:rPr>
        <w:t>Выбранный способ защиты соответствует характеру нарушения и сформулирован так, чтобы решение можно было исполнить.</w:t>
      </w:r>
    </w:p>
    <w:p>
      <w:pPr>
        <w:keepNext w:val="0"/>
        <w:spacing w:before="0" w:after="80" w:line="276" w:lineRule="auto"/>
        <w:ind w:firstLine="709"/>
        <w:jc w:val="both"/>
      </w:pPr>
      <w:r>
        <w:rPr>
          <w:rFonts w:ascii="Times New Roman" w:hAnsi="Times New Roman" w:eastAsia="Times New Roman"/>
          <w:b w:val="0"/>
          <w:i w:val="0"/>
          <w:sz w:val="24"/>
        </w:rPr>
        <w:t>Указываются спецификация, передача товара, приемка, сроки оплаты, замечания по качеству и претензионный порядок.</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После приемки производственной линии при пусконаладке выявлены вибрация, перегрев и несоответствие производительности техническому заданию. Недостатки зафиксированы двусторонним актом от 12 мая 2025 года и заключением специалиста.</w:t>
      </w:r>
    </w:p>
    <w:p>
      <w:pPr>
        <w:keepNext w:val="0"/>
        <w:spacing w:before="0" w:after="80" w:line="276" w:lineRule="auto"/>
        <w:ind w:firstLine="709"/>
        <w:jc w:val="both"/>
      </w:pPr>
      <w:r>
        <w:rPr>
          <w:rFonts w:ascii="Times New Roman" w:hAnsi="Times New Roman" w:eastAsia="Times New Roman"/>
          <w:b w:val="0"/>
          <w:i w:val="0"/>
          <w:sz w:val="24"/>
        </w:rPr>
        <w:t>Поставщик был приглашен на осмотр и получил срок для замены узлов, но ограничился перепиской и дефекты не устранил. Истец конкретизирует выбранное последствие недостатков и доказывает сохранность товара и возможность его исследования.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 статьи 506, 516, 518 и 521 ГК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Применить выбранное последствие поставки товара ненадлежащего качества: [замена / уменьшение цены / устранение / возврат].</w:t>
      </w:r>
    </w:p>
    <w:p>
      <w:pPr>
        <w:spacing w:after="60" w:line="276" w:lineRule="auto"/>
        <w:ind w:left="454" w:hanging="454"/>
        <w:jc w:val="both"/>
      </w:pPr>
      <w:r>
        <w:rPr>
          <w:rFonts w:ascii="Times New Roman" w:hAnsi="Times New Roman" w:eastAsia="Times New Roman"/>
          <w:b w:val="0"/>
          <w:i w:val="0"/>
          <w:sz w:val="24"/>
        </w:rPr>
        <w:t>2. Взыскать документально подтвержденные убытки и начисления в размере [сумма].</w:t>
      </w:r>
    </w:p>
    <w:p>
      <w:pPr>
        <w:spacing w:after="60" w:line="276" w:lineRule="auto"/>
        <w:ind w:left="454" w:hanging="454"/>
        <w:jc w:val="both"/>
      </w:pPr>
      <w:r>
        <w:rPr>
          <w:rFonts w:ascii="Times New Roman" w:hAnsi="Times New Roman" w:eastAsia="Times New Roman"/>
          <w:b w:val="0"/>
          <w:i w:val="0"/>
          <w:sz w:val="24"/>
        </w:rPr>
        <w:t>3. Взыскать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в связи с поставкой товара ненадлежащего качества</dc:title>
  <dc:subject>Подробный образец № 188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