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ВЗЫСКАНИИ ЗАДОЛЖЕННОСТИ ПО ДОГОВОРУ ПОСТАВКИ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Указываются спецификация, передача товара, приемка, сроки оплаты, замечания по качеству и претензионный порядок.</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 договору поставки № 15/П-2025 поставщик передал покупателю металлопрокат на 2 480 000 руб. по УПД от 18 марта и 2 апреля 2025 года. Покупатель перечислил 980 000 руб.; остаток 1 500 000 руб. должен был быть уплачен не позднее 16 апреля 2025 года.</w:t>
      </w:r>
    </w:p>
    <w:p>
      <w:pPr>
        <w:keepNext w:val="0"/>
        <w:spacing w:before="0" w:after="80" w:line="276" w:lineRule="auto"/>
        <w:ind w:firstLine="709"/>
        <w:jc w:val="both"/>
      </w:pPr>
      <w:r>
        <w:rPr>
          <w:rFonts w:ascii="Times New Roman" w:hAnsi="Times New Roman" w:eastAsia="Times New Roman"/>
          <w:b w:val="0"/>
          <w:i w:val="0"/>
          <w:sz w:val="24"/>
        </w:rPr>
        <w:t>Претензия получена 15 июля 2025 года. В ответ покупатель подтвердил получение продукции и просил отсрочку, но платеж не произвел. Возражения о качестве впервые заявлены после предъявления требования и не подтверждены актом приемки либо своевременным извещением.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статьи 506, 516, 518 и 521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основной долг по договору поставки в размере 1 500 000 руб.</w:t>
      </w:r>
    </w:p>
    <w:p>
      <w:pPr>
        <w:spacing w:after="60" w:line="276" w:lineRule="auto"/>
        <w:ind w:left="454" w:hanging="454"/>
        <w:jc w:val="both"/>
      </w:pPr>
      <w:r>
        <w:rPr>
          <w:rFonts w:ascii="Times New Roman" w:hAnsi="Times New Roman" w:eastAsia="Times New Roman"/>
          <w:b w:val="0"/>
          <w:i w:val="0"/>
          <w:sz w:val="24"/>
        </w:rPr>
        <w:t>2. Взыскать договорную неустойку / проценты в размере [сумма] по расчету.</w:t>
      </w:r>
    </w:p>
    <w:p>
      <w:pPr>
        <w:spacing w:after="60" w:line="276" w:lineRule="auto"/>
        <w:ind w:left="454" w:hanging="454"/>
        <w:jc w:val="both"/>
      </w:pPr>
      <w:r>
        <w:rPr>
          <w:rFonts w:ascii="Times New Roman" w:hAnsi="Times New Roman" w:eastAsia="Times New Roman"/>
          <w:b w:val="0"/>
          <w:i w:val="0"/>
          <w:sz w:val="24"/>
        </w:rPr>
        <w:t>3. Взыскать государственную пошлину и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задолженности по договору поставки</dc:title>
  <dc:subject>Подробный образец № 185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