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РАССРОЧКЕ ИСПОЛНЕНИЯ СУДЕБНОГО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рассрочке исполнения судебного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Должник предлагает реалистичный ежемесячный график, основанный на подтвержденном денежном потоке, и готов исполнять текущие платежи.</w:t>
      </w:r>
    </w:p>
    <w:p>
      <w:pPr>
        <w:keepNext w:val="0"/>
        <w:spacing w:before="0" w:after="80" w:line="276" w:lineRule="auto"/>
        <w:ind w:firstLine="709"/>
        <w:jc w:val="both"/>
      </w:pPr>
      <w:r>
        <w:rPr>
          <w:rFonts w:ascii="Times New Roman" w:hAnsi="Times New Roman" w:eastAsia="Times New Roman"/>
          <w:b w:val="0"/>
          <w:i w:val="0"/>
          <w:sz w:val="24"/>
        </w:rPr>
        <w:t>График не переносит основное бремя на неопределенный срок и учитывает позицию взыскателя.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Предоставить рассрочку исполнения по графику: [даты и суммы].</w:t>
      </w:r>
    </w:p>
    <w:p>
      <w:pPr>
        <w:spacing w:after="60" w:line="276" w:lineRule="auto"/>
        <w:ind w:left="454" w:hanging="454"/>
        <w:jc w:val="both"/>
      </w:pPr>
      <w:r>
        <w:rPr>
          <w:rFonts w:ascii="Times New Roman" w:hAnsi="Times New Roman" w:eastAsia="Times New Roman"/>
          <w:b w:val="0"/>
          <w:i w:val="0"/>
          <w:sz w:val="24"/>
        </w:rPr>
        <w:t>2. Установить последствия нарушения графика и сохранить обеспечение.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рассрочке исполнения судебного решения</dc:title>
  <dc:subject>Подробный образец № 179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